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NCCPEBlankTable"/>
        <w:tblW w:w="0" w:type="auto"/>
        <w:tblLook w:val="04A0" w:firstRow="1" w:lastRow="0" w:firstColumn="1" w:lastColumn="0" w:noHBand="0" w:noVBand="1"/>
      </w:tblPr>
      <w:tblGrid>
        <w:gridCol w:w="9026"/>
      </w:tblGrid>
      <w:tr w:rsidR="00BC25A9" w:rsidRPr="00BA2E4D" w14:paraId="3C57D14D" w14:textId="77777777" w:rsidTr="00951B0E">
        <w:trPr>
          <w:trHeight w:hRule="exact" w:val="1775"/>
        </w:trPr>
        <w:tc>
          <w:tcPr>
            <w:tcW w:w="9638" w:type="dxa"/>
            <w:tcBorders>
              <w:bottom w:val="single" w:sz="8" w:space="0" w:color="156082" w:themeColor="accent1"/>
            </w:tcBorders>
          </w:tcPr>
          <w:p w14:paraId="7C96B2D7" w14:textId="77777777" w:rsidR="00BC25A9" w:rsidRPr="00BA2E4D" w:rsidRDefault="00BC25A9" w:rsidP="00951B0E">
            <w:pPr>
              <w:rPr>
                <w:rFonts w:ascii="Aptos" w:hAnsi="Aptos"/>
              </w:rPr>
            </w:pPr>
            <w:bookmarkStart w:id="0" w:name="_Toc243476449"/>
            <w:r w:rsidRPr="00BA2E4D">
              <w:rPr>
                <w:rFonts w:ascii="Aptos" w:hAnsi="Aptos"/>
                <w:noProof/>
                <w:lang w:eastAsia="en-GB"/>
              </w:rPr>
              <w:drawing>
                <wp:inline distT="0" distB="0" distL="0" distR="0" wp14:anchorId="6FB2411C" wp14:editId="2478CE41">
                  <wp:extent cx="2119745" cy="702425"/>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logo 1.jpg"/>
                          <pic:cNvPicPr/>
                        </pic:nvPicPr>
                        <pic:blipFill>
                          <a:blip r:embed="rId12">
                            <a:extLst>
                              <a:ext uri="{28A0092B-C50C-407E-A947-70E740481C1C}">
                                <a14:useLocalDpi xmlns:a14="http://schemas.microsoft.com/office/drawing/2010/main" val="0"/>
                              </a:ext>
                            </a:extLst>
                          </a:blip>
                          <a:stretch>
                            <a:fillRect/>
                          </a:stretch>
                        </pic:blipFill>
                        <pic:spPr>
                          <a:xfrm>
                            <a:off x="0" y="0"/>
                            <a:ext cx="2119745" cy="702425"/>
                          </a:xfrm>
                          <a:prstGeom prst="rect">
                            <a:avLst/>
                          </a:prstGeom>
                        </pic:spPr>
                      </pic:pic>
                    </a:graphicData>
                  </a:graphic>
                </wp:inline>
              </w:drawing>
            </w:r>
          </w:p>
        </w:tc>
      </w:tr>
      <w:tr w:rsidR="00BC25A9" w:rsidRPr="00BA2E4D" w14:paraId="346AAAB9" w14:textId="77777777" w:rsidTr="00951B0E">
        <w:trPr>
          <w:trHeight w:hRule="exact" w:val="1276"/>
        </w:trPr>
        <w:tc>
          <w:tcPr>
            <w:tcW w:w="9638" w:type="dxa"/>
            <w:tcBorders>
              <w:top w:val="single" w:sz="8" w:space="0" w:color="156082" w:themeColor="accent1"/>
            </w:tcBorders>
          </w:tcPr>
          <w:p w14:paraId="10053FBB" w14:textId="77777777" w:rsidR="00BC25A9" w:rsidRPr="00BA2E4D" w:rsidRDefault="00BC25A9" w:rsidP="00951B0E">
            <w:pPr>
              <w:rPr>
                <w:rFonts w:ascii="Aptos" w:hAnsi="Aptos"/>
              </w:rPr>
            </w:pPr>
          </w:p>
        </w:tc>
      </w:tr>
    </w:tbl>
    <w:p w14:paraId="7B24411D" w14:textId="65643006" w:rsidR="00BC25A9" w:rsidRPr="009E2DD5" w:rsidRDefault="00BC25A9" w:rsidP="009E2DD5">
      <w:pPr>
        <w:rPr>
          <w:b/>
          <w:bCs/>
          <w:color w:val="00A8AB"/>
          <w:sz w:val="88"/>
          <w:szCs w:val="88"/>
        </w:rPr>
      </w:pPr>
      <w:r w:rsidRPr="009E2DD5">
        <w:rPr>
          <w:b/>
          <w:bCs/>
          <w:color w:val="00A8AB"/>
          <w:sz w:val="88"/>
          <w:szCs w:val="88"/>
        </w:rPr>
        <w:t>State of the Sector: Recommendations for Action</w:t>
      </w:r>
    </w:p>
    <w:p w14:paraId="38E2E16F" w14:textId="77777777" w:rsidR="00BC25A9" w:rsidRPr="00BA2E4D" w:rsidRDefault="00BC25A9" w:rsidP="00BC25A9">
      <w:pPr>
        <w:pStyle w:val="Subtitle"/>
        <w:rPr>
          <w:rFonts w:ascii="Aptos" w:hAnsi="Aptos"/>
        </w:rPr>
      </w:pPr>
    </w:p>
    <w:tbl>
      <w:tblPr>
        <w:tblStyle w:val="NCCPEBlankTable"/>
        <w:tblpPr w:leftFromText="181" w:rightFromText="181" w:tblpYSpec="bottom"/>
        <w:tblOverlap w:val="never"/>
        <w:tblW w:w="0" w:type="auto"/>
        <w:tblLook w:val="04A0" w:firstRow="1" w:lastRow="0" w:firstColumn="1" w:lastColumn="0" w:noHBand="0" w:noVBand="1"/>
      </w:tblPr>
      <w:tblGrid>
        <w:gridCol w:w="9026"/>
      </w:tblGrid>
      <w:tr w:rsidR="00BC25A9" w:rsidRPr="00BA2E4D" w14:paraId="5BECEEE6" w14:textId="77777777" w:rsidTr="00951B0E">
        <w:tc>
          <w:tcPr>
            <w:tcW w:w="9854" w:type="dxa"/>
          </w:tcPr>
          <w:p w14:paraId="72EF2860" w14:textId="77777777" w:rsidR="00BC25A9" w:rsidRPr="00BA2E4D" w:rsidRDefault="00BC25A9" w:rsidP="00951B0E">
            <w:pPr>
              <w:pStyle w:val="Subtitle"/>
              <w:rPr>
                <w:rFonts w:ascii="Aptos" w:hAnsi="Aptos"/>
              </w:rPr>
            </w:pPr>
          </w:p>
        </w:tc>
      </w:tr>
    </w:tbl>
    <w:p w14:paraId="2B95C97E" w14:textId="77777777" w:rsidR="00BC25A9" w:rsidRPr="00BA2E4D" w:rsidRDefault="00BC25A9" w:rsidP="00BC25A9">
      <w:pPr>
        <w:rPr>
          <w:rFonts w:ascii="Aptos" w:hAnsi="Aptos"/>
        </w:rPr>
      </w:pPr>
    </w:p>
    <w:p w14:paraId="2C5FBBBE" w14:textId="77777777" w:rsidR="00BC25A9" w:rsidRPr="00BA2E4D" w:rsidRDefault="00BC25A9" w:rsidP="00BC25A9">
      <w:pPr>
        <w:rPr>
          <w:rFonts w:ascii="Aptos" w:hAnsi="Aptos"/>
        </w:rPr>
      </w:pPr>
    </w:p>
    <w:p w14:paraId="75A646FA" w14:textId="77777777" w:rsidR="00BC25A9" w:rsidRDefault="00BC25A9">
      <w:pPr>
        <w:rPr>
          <w:rFonts w:asciiTheme="majorHAnsi" w:eastAsiaTheme="majorEastAsia" w:hAnsiTheme="majorHAnsi" w:cstheme="majorBidi"/>
          <w:color w:val="00A8AB"/>
          <w:sz w:val="40"/>
          <w:szCs w:val="40"/>
        </w:rPr>
      </w:pPr>
      <w:r>
        <w:br w:type="page"/>
      </w:r>
    </w:p>
    <w:p w14:paraId="1FB4AB70" w14:textId="4BB83A6D" w:rsidR="0048016B" w:rsidRPr="009E2DD5" w:rsidRDefault="0048016B" w:rsidP="009E2DD5">
      <w:pPr>
        <w:pStyle w:val="Heading1"/>
      </w:pPr>
      <w:r w:rsidRPr="009E2DD5">
        <w:lastRenderedPageBreak/>
        <w:t xml:space="preserve">State of the Sector: </w:t>
      </w:r>
      <w:r w:rsidR="00D742C1" w:rsidRPr="009E2DD5">
        <w:t>Recommendations for Action</w:t>
      </w:r>
      <w:bookmarkEnd w:id="0"/>
    </w:p>
    <w:p w14:paraId="1D06F2B6" w14:textId="77777777" w:rsidR="002E1AB5" w:rsidRPr="002E1AB5" w:rsidRDefault="002E1AB5" w:rsidP="002E1AB5"/>
    <w:sdt>
      <w:sdtPr>
        <w:rPr>
          <w:rFonts w:asciiTheme="minorHAnsi" w:eastAsiaTheme="minorHAnsi" w:hAnsiTheme="minorHAnsi" w:cstheme="minorBidi"/>
          <w:b w:val="0"/>
          <w:bCs w:val="0"/>
          <w:color w:val="auto"/>
          <w:kern w:val="2"/>
          <w:sz w:val="22"/>
          <w:szCs w:val="22"/>
          <w:lang w:eastAsia="en-US"/>
          <w14:ligatures w14:val="standardContextual"/>
        </w:rPr>
        <w:id w:val="494460952"/>
        <w:docPartObj>
          <w:docPartGallery w:val="Table of Contents"/>
          <w:docPartUnique/>
        </w:docPartObj>
      </w:sdtPr>
      <w:sdtEndPr/>
      <w:sdtContent>
        <w:p w14:paraId="10E6BAC6" w14:textId="0DD3BB13" w:rsidR="002E1AB5" w:rsidRPr="002E1AB5" w:rsidRDefault="002E1AB5" w:rsidP="009E2DD5">
          <w:pPr>
            <w:pStyle w:val="TOCHeading"/>
            <w:rPr>
              <w:rStyle w:val="Heading2Char"/>
            </w:rPr>
          </w:pPr>
          <w:r w:rsidRPr="002E1AB5">
            <w:rPr>
              <w:rStyle w:val="Heading2Char"/>
            </w:rPr>
            <w:t>Contents</w:t>
          </w:r>
        </w:p>
        <w:p w14:paraId="33566E1E" w14:textId="2F49448A" w:rsidR="002E1AB5" w:rsidRDefault="002E1AB5">
          <w:pPr>
            <w:pStyle w:val="TOC1"/>
            <w:tabs>
              <w:tab w:val="right" w:leader="dot" w:pos="9016"/>
            </w:tabs>
            <w:rPr>
              <w:noProof/>
            </w:rPr>
          </w:pPr>
          <w:r>
            <w:fldChar w:fldCharType="begin"/>
          </w:r>
          <w:r>
            <w:instrText xml:space="preserve"> TOC \o "1-3" \h \z \u </w:instrText>
          </w:r>
          <w:r>
            <w:fldChar w:fldCharType="separate"/>
          </w:r>
          <w:hyperlink w:anchor="_Toc243476449" w:history="1">
            <w:r w:rsidRPr="00EF2867">
              <w:rPr>
                <w:rStyle w:val="Hyperlink"/>
                <w:noProof/>
              </w:rPr>
              <w:t>State of the Sector: Recommendations for Action</w:t>
            </w:r>
            <w:r>
              <w:rPr>
                <w:noProof/>
                <w:webHidden/>
              </w:rPr>
              <w:tab/>
            </w:r>
            <w:r>
              <w:rPr>
                <w:noProof/>
                <w:webHidden/>
              </w:rPr>
              <w:fldChar w:fldCharType="begin"/>
            </w:r>
            <w:r>
              <w:rPr>
                <w:noProof/>
                <w:webHidden/>
              </w:rPr>
              <w:instrText xml:space="preserve"> PAGEREF _Toc243476449 \h </w:instrText>
            </w:r>
            <w:r>
              <w:rPr>
                <w:noProof/>
                <w:webHidden/>
              </w:rPr>
            </w:r>
            <w:r>
              <w:rPr>
                <w:noProof/>
                <w:webHidden/>
              </w:rPr>
              <w:fldChar w:fldCharType="separate"/>
            </w:r>
            <w:r w:rsidR="00FC265A">
              <w:rPr>
                <w:noProof/>
                <w:webHidden/>
              </w:rPr>
              <w:t>1</w:t>
            </w:r>
            <w:r>
              <w:rPr>
                <w:noProof/>
                <w:webHidden/>
              </w:rPr>
              <w:fldChar w:fldCharType="end"/>
            </w:r>
          </w:hyperlink>
        </w:p>
        <w:p w14:paraId="15CB52A3" w14:textId="63109D8B" w:rsidR="002E1AB5" w:rsidRDefault="002E1AB5">
          <w:pPr>
            <w:pStyle w:val="TOC2"/>
            <w:tabs>
              <w:tab w:val="right" w:leader="dot" w:pos="9016"/>
            </w:tabs>
            <w:rPr>
              <w:noProof/>
            </w:rPr>
          </w:pPr>
          <w:hyperlink w:anchor="_Toc243476450" w:history="1">
            <w:r w:rsidRPr="00EF2867">
              <w:rPr>
                <w:rStyle w:val="Hyperlink"/>
                <w:noProof/>
              </w:rPr>
              <w:t>Introduction</w:t>
            </w:r>
            <w:r>
              <w:rPr>
                <w:noProof/>
                <w:webHidden/>
              </w:rPr>
              <w:tab/>
            </w:r>
            <w:r>
              <w:rPr>
                <w:noProof/>
                <w:webHidden/>
              </w:rPr>
              <w:fldChar w:fldCharType="begin"/>
            </w:r>
            <w:r>
              <w:rPr>
                <w:noProof/>
                <w:webHidden/>
              </w:rPr>
              <w:instrText xml:space="preserve"> PAGEREF _Toc243476450 \h </w:instrText>
            </w:r>
            <w:r>
              <w:rPr>
                <w:noProof/>
                <w:webHidden/>
              </w:rPr>
            </w:r>
            <w:r>
              <w:rPr>
                <w:noProof/>
                <w:webHidden/>
              </w:rPr>
              <w:fldChar w:fldCharType="separate"/>
            </w:r>
            <w:r w:rsidR="00FC265A">
              <w:rPr>
                <w:noProof/>
                <w:webHidden/>
              </w:rPr>
              <w:t>2</w:t>
            </w:r>
            <w:r>
              <w:rPr>
                <w:noProof/>
                <w:webHidden/>
              </w:rPr>
              <w:fldChar w:fldCharType="end"/>
            </w:r>
          </w:hyperlink>
        </w:p>
        <w:p w14:paraId="342DF39C" w14:textId="26D8DC00" w:rsidR="002E1AB5" w:rsidRDefault="002E1AB5">
          <w:pPr>
            <w:pStyle w:val="TOC2"/>
            <w:tabs>
              <w:tab w:val="right" w:leader="dot" w:pos="9016"/>
            </w:tabs>
            <w:rPr>
              <w:noProof/>
            </w:rPr>
          </w:pPr>
          <w:hyperlink w:anchor="_Toc243476451" w:history="1">
            <w:r w:rsidRPr="00EF2867">
              <w:rPr>
                <w:rStyle w:val="Hyperlink"/>
                <w:noProof/>
              </w:rPr>
              <w:t>The risks we face</w:t>
            </w:r>
            <w:r>
              <w:rPr>
                <w:noProof/>
                <w:webHidden/>
              </w:rPr>
              <w:tab/>
            </w:r>
            <w:r>
              <w:rPr>
                <w:noProof/>
                <w:webHidden/>
              </w:rPr>
              <w:fldChar w:fldCharType="begin"/>
            </w:r>
            <w:r>
              <w:rPr>
                <w:noProof/>
                <w:webHidden/>
              </w:rPr>
              <w:instrText xml:space="preserve"> PAGEREF _Toc243476451 \h </w:instrText>
            </w:r>
            <w:r>
              <w:rPr>
                <w:noProof/>
                <w:webHidden/>
              </w:rPr>
            </w:r>
            <w:r>
              <w:rPr>
                <w:noProof/>
                <w:webHidden/>
              </w:rPr>
              <w:fldChar w:fldCharType="separate"/>
            </w:r>
            <w:r w:rsidR="00FC265A">
              <w:rPr>
                <w:noProof/>
                <w:webHidden/>
              </w:rPr>
              <w:t>3</w:t>
            </w:r>
            <w:r>
              <w:rPr>
                <w:noProof/>
                <w:webHidden/>
              </w:rPr>
              <w:fldChar w:fldCharType="end"/>
            </w:r>
          </w:hyperlink>
        </w:p>
        <w:p w14:paraId="61E76A95" w14:textId="128E3F82" w:rsidR="002E1AB5" w:rsidRDefault="002E1AB5">
          <w:pPr>
            <w:pStyle w:val="TOC2"/>
            <w:tabs>
              <w:tab w:val="right" w:leader="dot" w:pos="9016"/>
            </w:tabs>
            <w:rPr>
              <w:noProof/>
            </w:rPr>
          </w:pPr>
          <w:hyperlink w:anchor="_Toc243476452" w:history="1">
            <w:r w:rsidRPr="00EF2867">
              <w:rPr>
                <w:rStyle w:val="Hyperlink"/>
                <w:noProof/>
              </w:rPr>
              <w:t>What all of us can do</w:t>
            </w:r>
            <w:r>
              <w:rPr>
                <w:noProof/>
                <w:webHidden/>
              </w:rPr>
              <w:tab/>
            </w:r>
            <w:r>
              <w:rPr>
                <w:noProof/>
                <w:webHidden/>
              </w:rPr>
              <w:fldChar w:fldCharType="begin"/>
            </w:r>
            <w:r>
              <w:rPr>
                <w:noProof/>
                <w:webHidden/>
              </w:rPr>
              <w:instrText xml:space="preserve"> PAGEREF _Toc243476452 \h </w:instrText>
            </w:r>
            <w:r>
              <w:rPr>
                <w:noProof/>
                <w:webHidden/>
              </w:rPr>
            </w:r>
            <w:r>
              <w:rPr>
                <w:noProof/>
                <w:webHidden/>
              </w:rPr>
              <w:fldChar w:fldCharType="separate"/>
            </w:r>
            <w:r w:rsidR="00FC265A">
              <w:rPr>
                <w:noProof/>
                <w:webHidden/>
              </w:rPr>
              <w:t>4</w:t>
            </w:r>
            <w:r>
              <w:rPr>
                <w:noProof/>
                <w:webHidden/>
              </w:rPr>
              <w:fldChar w:fldCharType="end"/>
            </w:r>
          </w:hyperlink>
        </w:p>
        <w:p w14:paraId="05F0B7D7" w14:textId="56B91736" w:rsidR="002E1AB5" w:rsidRDefault="002E1AB5">
          <w:pPr>
            <w:pStyle w:val="TOC2"/>
            <w:tabs>
              <w:tab w:val="right" w:leader="dot" w:pos="9016"/>
            </w:tabs>
            <w:rPr>
              <w:noProof/>
            </w:rPr>
          </w:pPr>
          <w:hyperlink w:anchor="_Toc243476453" w:history="1">
            <w:r w:rsidRPr="00EF2867">
              <w:rPr>
                <w:rStyle w:val="Hyperlink"/>
                <w:noProof/>
              </w:rPr>
              <w:t>Recommendations</w:t>
            </w:r>
            <w:r>
              <w:rPr>
                <w:noProof/>
                <w:webHidden/>
              </w:rPr>
              <w:tab/>
            </w:r>
            <w:r>
              <w:rPr>
                <w:noProof/>
                <w:webHidden/>
              </w:rPr>
              <w:fldChar w:fldCharType="begin"/>
            </w:r>
            <w:r>
              <w:rPr>
                <w:noProof/>
                <w:webHidden/>
              </w:rPr>
              <w:instrText xml:space="preserve"> PAGEREF _Toc243476453 \h </w:instrText>
            </w:r>
            <w:r>
              <w:rPr>
                <w:noProof/>
                <w:webHidden/>
              </w:rPr>
            </w:r>
            <w:r>
              <w:rPr>
                <w:noProof/>
                <w:webHidden/>
              </w:rPr>
              <w:fldChar w:fldCharType="separate"/>
            </w:r>
            <w:r w:rsidR="00FC265A">
              <w:rPr>
                <w:noProof/>
                <w:webHidden/>
              </w:rPr>
              <w:t>4</w:t>
            </w:r>
            <w:r>
              <w:rPr>
                <w:noProof/>
                <w:webHidden/>
              </w:rPr>
              <w:fldChar w:fldCharType="end"/>
            </w:r>
          </w:hyperlink>
        </w:p>
        <w:p w14:paraId="7EC9612F" w14:textId="77D8C79E" w:rsidR="002E1AB5" w:rsidRDefault="002E1AB5">
          <w:pPr>
            <w:pStyle w:val="TOC3"/>
            <w:tabs>
              <w:tab w:val="right" w:leader="dot" w:pos="9016"/>
            </w:tabs>
            <w:rPr>
              <w:noProof/>
            </w:rPr>
          </w:pPr>
          <w:hyperlink w:anchor="_Toc243476454" w:history="1">
            <w:r w:rsidRPr="00EF2867">
              <w:rPr>
                <w:rStyle w:val="Hyperlink"/>
                <w:noProof/>
              </w:rPr>
              <w:t>For Funders</w:t>
            </w:r>
            <w:r>
              <w:rPr>
                <w:noProof/>
                <w:webHidden/>
              </w:rPr>
              <w:tab/>
            </w:r>
            <w:r>
              <w:rPr>
                <w:noProof/>
                <w:webHidden/>
              </w:rPr>
              <w:fldChar w:fldCharType="begin"/>
            </w:r>
            <w:r>
              <w:rPr>
                <w:noProof/>
                <w:webHidden/>
              </w:rPr>
              <w:instrText xml:space="preserve"> PAGEREF _Toc243476454 \h </w:instrText>
            </w:r>
            <w:r>
              <w:rPr>
                <w:noProof/>
                <w:webHidden/>
              </w:rPr>
            </w:r>
            <w:r>
              <w:rPr>
                <w:noProof/>
                <w:webHidden/>
              </w:rPr>
              <w:fldChar w:fldCharType="separate"/>
            </w:r>
            <w:r w:rsidR="00FC265A">
              <w:rPr>
                <w:noProof/>
                <w:webHidden/>
              </w:rPr>
              <w:t>4</w:t>
            </w:r>
            <w:r>
              <w:rPr>
                <w:noProof/>
                <w:webHidden/>
              </w:rPr>
              <w:fldChar w:fldCharType="end"/>
            </w:r>
          </w:hyperlink>
        </w:p>
        <w:p w14:paraId="0EA23D1E" w14:textId="0255EAF6" w:rsidR="002E1AB5" w:rsidRDefault="002E1AB5">
          <w:pPr>
            <w:pStyle w:val="TOC3"/>
            <w:tabs>
              <w:tab w:val="right" w:leader="dot" w:pos="9016"/>
            </w:tabs>
            <w:rPr>
              <w:noProof/>
            </w:rPr>
          </w:pPr>
          <w:hyperlink w:anchor="_Toc243476455" w:history="1">
            <w:r w:rsidRPr="00EF2867">
              <w:rPr>
                <w:rStyle w:val="Hyperlink"/>
                <w:noProof/>
              </w:rPr>
              <w:t>For University Leaders</w:t>
            </w:r>
            <w:r>
              <w:rPr>
                <w:noProof/>
                <w:webHidden/>
              </w:rPr>
              <w:tab/>
            </w:r>
            <w:r>
              <w:rPr>
                <w:noProof/>
                <w:webHidden/>
              </w:rPr>
              <w:fldChar w:fldCharType="begin"/>
            </w:r>
            <w:r>
              <w:rPr>
                <w:noProof/>
                <w:webHidden/>
              </w:rPr>
              <w:instrText xml:space="preserve"> PAGEREF _Toc243476455 \h </w:instrText>
            </w:r>
            <w:r>
              <w:rPr>
                <w:noProof/>
                <w:webHidden/>
              </w:rPr>
            </w:r>
            <w:r>
              <w:rPr>
                <w:noProof/>
                <w:webHidden/>
              </w:rPr>
              <w:fldChar w:fldCharType="separate"/>
            </w:r>
            <w:r w:rsidR="00FC265A">
              <w:rPr>
                <w:noProof/>
                <w:webHidden/>
              </w:rPr>
              <w:t>5</w:t>
            </w:r>
            <w:r>
              <w:rPr>
                <w:noProof/>
                <w:webHidden/>
              </w:rPr>
              <w:fldChar w:fldCharType="end"/>
            </w:r>
          </w:hyperlink>
        </w:p>
        <w:p w14:paraId="010F50E3" w14:textId="2F6F2989" w:rsidR="002E1AB5" w:rsidRDefault="002E1AB5">
          <w:pPr>
            <w:pStyle w:val="TOC3"/>
            <w:tabs>
              <w:tab w:val="right" w:leader="dot" w:pos="9016"/>
            </w:tabs>
            <w:rPr>
              <w:noProof/>
            </w:rPr>
          </w:pPr>
          <w:hyperlink w:anchor="_Toc243476456" w:history="1">
            <w:r w:rsidRPr="00EF2867">
              <w:rPr>
                <w:rStyle w:val="Hyperlink"/>
                <w:noProof/>
              </w:rPr>
              <w:t>For Public Engagement Professionals</w:t>
            </w:r>
            <w:r>
              <w:rPr>
                <w:noProof/>
                <w:webHidden/>
              </w:rPr>
              <w:tab/>
            </w:r>
            <w:r>
              <w:rPr>
                <w:noProof/>
                <w:webHidden/>
              </w:rPr>
              <w:fldChar w:fldCharType="begin"/>
            </w:r>
            <w:r>
              <w:rPr>
                <w:noProof/>
                <w:webHidden/>
              </w:rPr>
              <w:instrText xml:space="preserve"> PAGEREF _Toc243476456 \h </w:instrText>
            </w:r>
            <w:r>
              <w:rPr>
                <w:noProof/>
                <w:webHidden/>
              </w:rPr>
            </w:r>
            <w:r>
              <w:rPr>
                <w:noProof/>
                <w:webHidden/>
              </w:rPr>
              <w:fldChar w:fldCharType="separate"/>
            </w:r>
            <w:r w:rsidR="00FC265A">
              <w:rPr>
                <w:noProof/>
                <w:webHidden/>
              </w:rPr>
              <w:t>5</w:t>
            </w:r>
            <w:r>
              <w:rPr>
                <w:noProof/>
                <w:webHidden/>
              </w:rPr>
              <w:fldChar w:fldCharType="end"/>
            </w:r>
          </w:hyperlink>
        </w:p>
        <w:p w14:paraId="439ED5A7" w14:textId="4D9909FC" w:rsidR="002E1AB5" w:rsidRDefault="002E1AB5">
          <w:pPr>
            <w:pStyle w:val="TOC3"/>
            <w:tabs>
              <w:tab w:val="right" w:leader="dot" w:pos="9016"/>
            </w:tabs>
            <w:rPr>
              <w:noProof/>
            </w:rPr>
          </w:pPr>
          <w:hyperlink w:anchor="_Toc243476457" w:history="1">
            <w:r w:rsidRPr="00EF2867">
              <w:rPr>
                <w:rStyle w:val="Hyperlink"/>
                <w:noProof/>
              </w:rPr>
              <w:t>For Academics and Researchers</w:t>
            </w:r>
            <w:r>
              <w:rPr>
                <w:noProof/>
                <w:webHidden/>
              </w:rPr>
              <w:tab/>
            </w:r>
            <w:r>
              <w:rPr>
                <w:noProof/>
                <w:webHidden/>
              </w:rPr>
              <w:fldChar w:fldCharType="begin"/>
            </w:r>
            <w:r>
              <w:rPr>
                <w:noProof/>
                <w:webHidden/>
              </w:rPr>
              <w:instrText xml:space="preserve"> PAGEREF _Toc243476457 \h </w:instrText>
            </w:r>
            <w:r>
              <w:rPr>
                <w:noProof/>
                <w:webHidden/>
              </w:rPr>
            </w:r>
            <w:r>
              <w:rPr>
                <w:noProof/>
                <w:webHidden/>
              </w:rPr>
              <w:fldChar w:fldCharType="separate"/>
            </w:r>
            <w:r w:rsidR="00FC265A">
              <w:rPr>
                <w:noProof/>
                <w:webHidden/>
              </w:rPr>
              <w:t>5</w:t>
            </w:r>
            <w:r>
              <w:rPr>
                <w:noProof/>
                <w:webHidden/>
              </w:rPr>
              <w:fldChar w:fldCharType="end"/>
            </w:r>
          </w:hyperlink>
        </w:p>
        <w:p w14:paraId="3F77428F" w14:textId="22EC9B5C" w:rsidR="002E1AB5" w:rsidRDefault="002E1AB5">
          <w:pPr>
            <w:pStyle w:val="TOC3"/>
            <w:tabs>
              <w:tab w:val="right" w:leader="dot" w:pos="9016"/>
            </w:tabs>
            <w:rPr>
              <w:noProof/>
            </w:rPr>
          </w:pPr>
          <w:hyperlink w:anchor="_Toc243476458" w:history="1">
            <w:r w:rsidRPr="00EF2867">
              <w:rPr>
                <w:rStyle w:val="Hyperlink"/>
                <w:noProof/>
              </w:rPr>
              <w:t>For Government and Policymakers</w:t>
            </w:r>
            <w:r>
              <w:rPr>
                <w:noProof/>
                <w:webHidden/>
              </w:rPr>
              <w:tab/>
            </w:r>
            <w:r>
              <w:rPr>
                <w:noProof/>
                <w:webHidden/>
              </w:rPr>
              <w:fldChar w:fldCharType="begin"/>
            </w:r>
            <w:r>
              <w:rPr>
                <w:noProof/>
                <w:webHidden/>
              </w:rPr>
              <w:instrText xml:space="preserve"> PAGEREF _Toc243476458 \h </w:instrText>
            </w:r>
            <w:r>
              <w:rPr>
                <w:noProof/>
                <w:webHidden/>
              </w:rPr>
            </w:r>
            <w:r>
              <w:rPr>
                <w:noProof/>
                <w:webHidden/>
              </w:rPr>
              <w:fldChar w:fldCharType="separate"/>
            </w:r>
            <w:r w:rsidR="00FC265A">
              <w:rPr>
                <w:noProof/>
                <w:webHidden/>
              </w:rPr>
              <w:t>6</w:t>
            </w:r>
            <w:r>
              <w:rPr>
                <w:noProof/>
                <w:webHidden/>
              </w:rPr>
              <w:fldChar w:fldCharType="end"/>
            </w:r>
          </w:hyperlink>
        </w:p>
        <w:p w14:paraId="5D41338D" w14:textId="2284D28F" w:rsidR="002E1AB5" w:rsidRDefault="002E1AB5">
          <w:pPr>
            <w:pStyle w:val="TOC3"/>
            <w:tabs>
              <w:tab w:val="right" w:leader="dot" w:pos="9016"/>
            </w:tabs>
            <w:rPr>
              <w:noProof/>
            </w:rPr>
          </w:pPr>
          <w:hyperlink w:anchor="_Toc243476459" w:history="1">
            <w:r w:rsidRPr="00EF2867">
              <w:rPr>
                <w:rStyle w:val="Hyperlink"/>
                <w:noProof/>
              </w:rPr>
              <w:t>The NCCPE — our role in strengthening the system</w:t>
            </w:r>
            <w:r>
              <w:rPr>
                <w:noProof/>
                <w:webHidden/>
              </w:rPr>
              <w:tab/>
            </w:r>
            <w:r>
              <w:rPr>
                <w:noProof/>
                <w:webHidden/>
              </w:rPr>
              <w:fldChar w:fldCharType="begin"/>
            </w:r>
            <w:r>
              <w:rPr>
                <w:noProof/>
                <w:webHidden/>
              </w:rPr>
              <w:instrText xml:space="preserve"> PAGEREF _Toc243476459 \h </w:instrText>
            </w:r>
            <w:r>
              <w:rPr>
                <w:noProof/>
                <w:webHidden/>
              </w:rPr>
            </w:r>
            <w:r>
              <w:rPr>
                <w:noProof/>
                <w:webHidden/>
              </w:rPr>
              <w:fldChar w:fldCharType="separate"/>
            </w:r>
            <w:r w:rsidR="00FC265A">
              <w:rPr>
                <w:noProof/>
                <w:webHidden/>
              </w:rPr>
              <w:t>6</w:t>
            </w:r>
            <w:r>
              <w:rPr>
                <w:noProof/>
                <w:webHidden/>
              </w:rPr>
              <w:fldChar w:fldCharType="end"/>
            </w:r>
          </w:hyperlink>
        </w:p>
        <w:p w14:paraId="29638CA1" w14:textId="60069765" w:rsidR="002E1AB5" w:rsidRDefault="002E1AB5">
          <w:pPr>
            <w:pStyle w:val="TOC2"/>
            <w:tabs>
              <w:tab w:val="right" w:leader="dot" w:pos="9016"/>
            </w:tabs>
            <w:rPr>
              <w:noProof/>
            </w:rPr>
          </w:pPr>
          <w:hyperlink w:anchor="_Toc243476460" w:history="1">
            <w:r w:rsidRPr="00EF2867">
              <w:rPr>
                <w:rStyle w:val="Hyperlink"/>
                <w:noProof/>
              </w:rPr>
              <w:t>What’s next</w:t>
            </w:r>
            <w:r>
              <w:rPr>
                <w:noProof/>
                <w:webHidden/>
              </w:rPr>
              <w:tab/>
            </w:r>
            <w:r>
              <w:rPr>
                <w:noProof/>
                <w:webHidden/>
              </w:rPr>
              <w:fldChar w:fldCharType="begin"/>
            </w:r>
            <w:r>
              <w:rPr>
                <w:noProof/>
                <w:webHidden/>
              </w:rPr>
              <w:instrText xml:space="preserve"> PAGEREF _Toc243476460 \h </w:instrText>
            </w:r>
            <w:r>
              <w:rPr>
                <w:noProof/>
                <w:webHidden/>
              </w:rPr>
            </w:r>
            <w:r>
              <w:rPr>
                <w:noProof/>
                <w:webHidden/>
              </w:rPr>
              <w:fldChar w:fldCharType="separate"/>
            </w:r>
            <w:r w:rsidR="00FC265A">
              <w:rPr>
                <w:noProof/>
                <w:webHidden/>
              </w:rPr>
              <w:t>6</w:t>
            </w:r>
            <w:r>
              <w:rPr>
                <w:noProof/>
                <w:webHidden/>
              </w:rPr>
              <w:fldChar w:fldCharType="end"/>
            </w:r>
          </w:hyperlink>
        </w:p>
        <w:p w14:paraId="7E97F0CD" w14:textId="3398F3F5" w:rsidR="002E1AB5" w:rsidRDefault="002E1AB5">
          <w:r>
            <w:rPr>
              <w:b/>
              <w:bCs/>
            </w:rPr>
            <w:fldChar w:fldCharType="end"/>
          </w:r>
        </w:p>
      </w:sdtContent>
    </w:sdt>
    <w:p w14:paraId="4390F0C2" w14:textId="77777777" w:rsidR="00CB4723" w:rsidRDefault="002E1AB5">
      <w:pPr>
        <w:sectPr w:rsidR="00CB4723" w:rsidSect="001A22D3">
          <w:footerReference w:type="default" r:id="rId13"/>
          <w:pgSz w:w="11906" w:h="16838"/>
          <w:pgMar w:top="1440" w:right="1440" w:bottom="1440" w:left="1440" w:header="708" w:footer="708" w:gutter="0"/>
          <w:cols w:space="708"/>
          <w:docGrid w:linePitch="360"/>
        </w:sectPr>
      </w:pPr>
      <w:r>
        <w:br w:type="page"/>
      </w:r>
    </w:p>
    <w:p w14:paraId="6BA4BE8C" w14:textId="2A7119FF" w:rsidR="00CB4723" w:rsidRDefault="00CB4723">
      <w:r>
        <w:br w:type="page"/>
      </w:r>
    </w:p>
    <w:p w14:paraId="57189F8E" w14:textId="4BF01F30" w:rsidR="00965B57" w:rsidRPr="00F24350" w:rsidRDefault="0048016B" w:rsidP="00FA7C41">
      <w:pPr>
        <w:pStyle w:val="Heading2"/>
      </w:pPr>
      <w:bookmarkStart w:id="1" w:name="_Toc243476450"/>
      <w:r w:rsidRPr="00401ECF">
        <w:lastRenderedPageBreak/>
        <w:t>Introduction</w:t>
      </w:r>
      <w:bookmarkEnd w:id="1"/>
    </w:p>
    <w:p w14:paraId="674208AA" w14:textId="7D3A14EA" w:rsidR="00F86C08" w:rsidRPr="00A81198" w:rsidRDefault="2CC0CFA2" w:rsidP="00F86C08">
      <w:r w:rsidRPr="56133BFF">
        <w:rPr>
          <w:i/>
          <w:iCs/>
        </w:rPr>
        <w:t>Public and Community Engagement: The State of the Sector</w:t>
      </w:r>
      <w:r>
        <w:t xml:space="preserve"> report offers insights and reflections on the current state of engagement across Higher Education (HE) in the UK. Delivered as part of the </w:t>
      </w:r>
      <w:hyperlink r:id="rId14" w:history="1">
        <w:r w:rsidRPr="008F7BE4">
          <w:rPr>
            <w:rStyle w:val="Hyperlink"/>
            <w:i/>
            <w:iCs/>
            <w:color w:val="00A8AB"/>
          </w:rPr>
          <w:t>Engaged Futures</w:t>
        </w:r>
      </w:hyperlink>
      <w:r>
        <w:t xml:space="preserve"> programme, the report shows significant progress over the last twenty years; engagement is now widely recognised as central to universities' public purpose. However, it also highlights that engagement is not fully embedded in the systems that sustain it, leaving it vulnerable and often treated as expendable.</w:t>
      </w:r>
    </w:p>
    <w:p w14:paraId="62470B79" w14:textId="509F5334" w:rsidR="00F86C08" w:rsidRPr="00A81198" w:rsidDel="00DC2755" w:rsidRDefault="2CC0CFA2" w:rsidP="00F86C08">
      <w:r w:rsidRPr="00A81198">
        <w:t>Recent evidence points to worryingly low levels of public understanding and appreciation of the value universities create.</w:t>
      </w:r>
      <w:r w:rsidRPr="00F86C08">
        <w:t xml:space="preserve"> </w:t>
      </w:r>
      <w:r w:rsidRPr="00D742C1">
        <w:t>Only 18% of UK adults can name a way university research benefits them</w:t>
      </w:r>
      <w:r>
        <w:t>, their families or their local area</w:t>
      </w:r>
      <w:r w:rsidRPr="00D742C1">
        <w:t>,</w:t>
      </w:r>
      <w:r w:rsidR="00F86C08">
        <w:rPr>
          <w:rStyle w:val="FootnoteReference"/>
        </w:rPr>
        <w:footnoteReference w:id="1"/>
      </w:r>
      <w:r w:rsidRPr="00D742C1">
        <w:t xml:space="preserve"> and </w:t>
      </w:r>
      <w:r>
        <w:t>the value of</w:t>
      </w:r>
      <w:r w:rsidRPr="00D742C1">
        <w:t xml:space="preserve"> universities is increasingly </w:t>
      </w:r>
      <w:r>
        <w:t>contested.</w:t>
      </w:r>
      <w:r w:rsidR="00F86C08">
        <w:rPr>
          <w:rStyle w:val="FootnoteReference"/>
        </w:rPr>
        <w:footnoteReference w:id="2"/>
      </w:r>
      <w:r>
        <w:t xml:space="preserve"> </w:t>
      </w:r>
      <w:r w:rsidRPr="00A81198">
        <w:t>At the same time, policymakers, funders and universities are placing growing emphasis on how research and higher education contribute to wider public benefit, helping to improve lives, strengthen communities and support growth and prosperity acros</w:t>
      </w:r>
      <w:r>
        <w:t xml:space="preserve">s all parts of the UK. </w:t>
      </w:r>
    </w:p>
    <w:p w14:paraId="786091DB" w14:textId="24E0E1E6" w:rsidR="00F86C08" w:rsidRPr="00A81198" w:rsidRDefault="2CC0CFA2" w:rsidP="00F86C08">
      <w:r>
        <w:t>These developments raise two closely connected challenges for the sector. The first is how to strengthen public confidence in research and higher education at a time when trust and legitimacy can no longer be taken for granted. The second is how universities demonstrate the public value they create for people, places and communities through their research, teaching, civic contribution and wider activities.</w:t>
      </w:r>
    </w:p>
    <w:p w14:paraId="2BC87805" w14:textId="77777777" w:rsidR="00F86C08" w:rsidRPr="00A81198" w:rsidRDefault="2CC0CFA2" w:rsidP="00F86C08">
      <w:r>
        <w:t xml:space="preserve">The evidence reviewed in the </w:t>
      </w:r>
      <w:r w:rsidRPr="56133BFF">
        <w:rPr>
          <w:i/>
          <w:iCs/>
        </w:rPr>
        <w:t>State of the Sector</w:t>
      </w:r>
      <w:r>
        <w:t xml:space="preserve"> report suggests that public and community engagement has a vital role to play in addressing both challenges. Effective engagement helps connect research and knowledge to the priorities and experiences of people and communities, creating opportunities for participation, collaboration and mutual benefit. It enables universities not only to communicate the value they create, but also to realise that value through stronger relationships, more relevant research and deeper connections with society.</w:t>
      </w:r>
    </w:p>
    <w:p w14:paraId="44B11C3A" w14:textId="77777777" w:rsidR="00F86C08" w:rsidRPr="00A81198" w:rsidRDefault="2CC0CFA2" w:rsidP="00F86C08">
      <w:r>
        <w:t xml:space="preserve">The challenges also highlight a significant tension for the HE </w:t>
      </w:r>
      <w:proofErr w:type="gramStart"/>
      <w:r>
        <w:t>sector</w:t>
      </w:r>
      <w:proofErr w:type="gramEnd"/>
      <w:r>
        <w:t>. At the very moment when strengthening public confidence and demonstrating public value have become increasingly important, the engagement infrastructure needed to build and sustain these relationships is being eroded.</w:t>
      </w:r>
    </w:p>
    <w:p w14:paraId="2CC0D3FA" w14:textId="77777777" w:rsidR="00904C30" w:rsidRDefault="2CC0CFA2" w:rsidP="56133BFF">
      <w:r>
        <w:t xml:space="preserve">The NCCPE is referring to this as </w:t>
      </w:r>
      <w:r w:rsidRPr="56133BFF">
        <w:rPr>
          <w:i/>
          <w:iCs/>
        </w:rPr>
        <w:t>the drift</w:t>
      </w:r>
      <w:r>
        <w:t xml:space="preserve">: a quiet dismantling of the hard-won foundations that have enabled engagement to become embedded across the sector. It is not driven by a loss of commitment, but by decisions made under pressure, ranging from incremental reductions in support to the loss of whole teams, that weaken the conditions needed for effective engagement. Each individual change may appear manageable. Taken together, however, their cumulative impact risks undermining the relationships, capabilities and partnerships on which both public confidence and public value depend. </w:t>
      </w:r>
    </w:p>
    <w:p w14:paraId="76AFBF4E" w14:textId="3E6B12E6" w:rsidR="0048016B" w:rsidRPr="0048016B" w:rsidRDefault="1539C48E" w:rsidP="56133BFF">
      <w:r>
        <w:t xml:space="preserve">The evidence points to </w:t>
      </w:r>
      <w:r w:rsidR="1E5792A1">
        <w:t>four</w:t>
      </w:r>
      <w:r>
        <w:t xml:space="preserve"> defining features of this drift:</w:t>
      </w:r>
    </w:p>
    <w:p w14:paraId="4F4B1988" w14:textId="76EA2ABC" w:rsidR="0048016B" w:rsidRPr="0048016B" w:rsidRDefault="0048016B" w:rsidP="0048016B">
      <w:pPr>
        <w:numPr>
          <w:ilvl w:val="0"/>
          <w:numId w:val="3"/>
        </w:numPr>
      </w:pPr>
      <w:r w:rsidRPr="0048016B">
        <w:rPr>
          <w:b/>
          <w:bCs/>
        </w:rPr>
        <w:lastRenderedPageBreak/>
        <w:t>A strong foundation has been built.</w:t>
      </w:r>
      <w:r w:rsidRPr="0048016B">
        <w:t xml:space="preserve"> Engagement is embedded in national frameworks, institutional strategies and professional roles, supported by a generation of skilled people.</w:t>
      </w:r>
    </w:p>
    <w:p w14:paraId="412DBD59" w14:textId="4D2CC4E4" w:rsidR="0048016B" w:rsidRPr="0048016B" w:rsidRDefault="0048016B" w:rsidP="0048016B">
      <w:pPr>
        <w:numPr>
          <w:ilvl w:val="0"/>
          <w:numId w:val="3"/>
        </w:numPr>
      </w:pPr>
      <w:r w:rsidRPr="0048016B">
        <w:rPr>
          <w:b/>
          <w:bCs/>
        </w:rPr>
        <w:t>Financial pressures are acute.</w:t>
      </w:r>
      <w:r w:rsidRPr="0048016B">
        <w:t xml:space="preserve"> Sustained strain across the sector means engagement is often among the first areas affected.</w:t>
      </w:r>
    </w:p>
    <w:p w14:paraId="12C5E769" w14:textId="071A620C" w:rsidR="0048016B" w:rsidRPr="0048016B" w:rsidRDefault="1539C48E" w:rsidP="0048016B">
      <w:pPr>
        <w:numPr>
          <w:ilvl w:val="0"/>
          <w:numId w:val="3"/>
        </w:numPr>
      </w:pPr>
      <w:r w:rsidRPr="56133BFF">
        <w:rPr>
          <w:b/>
          <w:bCs/>
        </w:rPr>
        <w:t>Commitment remains</w:t>
      </w:r>
      <w:r w:rsidR="4C9C18F1" w:rsidRPr="56133BFF">
        <w:rPr>
          <w:b/>
          <w:bCs/>
        </w:rPr>
        <w:t xml:space="preserve">, </w:t>
      </w:r>
      <w:r w:rsidRPr="56133BFF">
        <w:rPr>
          <w:b/>
          <w:bCs/>
        </w:rPr>
        <w:t>but capacity is eroding.</w:t>
      </w:r>
      <w:r>
        <w:t xml:space="preserve"> No one is choosing to weaken engagement, but decisions made under pressure are reducing the infrastructure on which it depends.</w:t>
      </w:r>
    </w:p>
    <w:p w14:paraId="4D4B6615" w14:textId="498EB12C" w:rsidR="0048016B" w:rsidRDefault="1539C48E" w:rsidP="0048016B">
      <w:pPr>
        <w:numPr>
          <w:ilvl w:val="0"/>
          <w:numId w:val="3"/>
        </w:numPr>
      </w:pPr>
      <w:r w:rsidRPr="56133BFF">
        <w:rPr>
          <w:b/>
          <w:bCs/>
        </w:rPr>
        <w:t>Engagement is not yet structural.</w:t>
      </w:r>
      <w:r>
        <w:t xml:space="preserve"> It is reflected in how universities describe themselves, but not consistently embedded in how they are funded, assessed and rewarded</w:t>
      </w:r>
      <w:r w:rsidR="4C9C18F1">
        <w:t xml:space="preserve">, </w:t>
      </w:r>
      <w:r>
        <w:t>leaving it exposed.</w:t>
      </w:r>
    </w:p>
    <w:p w14:paraId="7ED274CA" w14:textId="77777777" w:rsidR="00FA7C41" w:rsidRDefault="00FA7C41" w:rsidP="00FA7C41">
      <w:pPr>
        <w:ind w:left="720"/>
      </w:pPr>
    </w:p>
    <w:p w14:paraId="6743C7B7" w14:textId="77777777" w:rsidR="00AE613D" w:rsidRPr="00401ECF" w:rsidRDefault="00AE613D" w:rsidP="00FA7C41">
      <w:pPr>
        <w:pStyle w:val="Heading2"/>
      </w:pPr>
      <w:bookmarkStart w:id="2" w:name="_Toc243476451"/>
      <w:r w:rsidRPr="00401ECF">
        <w:t>The risks we face</w:t>
      </w:r>
      <w:bookmarkEnd w:id="2"/>
    </w:p>
    <w:p w14:paraId="2E51B3CA" w14:textId="18FF32AA" w:rsidR="00AE613D" w:rsidRPr="00AE613D" w:rsidRDefault="00AE613D" w:rsidP="00AE613D">
      <w:r w:rsidRPr="00AE613D">
        <w:t>Left unchecked, the drift will erode what we have built. We need to name and confront the risks this poses:</w:t>
      </w:r>
    </w:p>
    <w:p w14:paraId="0F6B0CF9" w14:textId="2645A100" w:rsidR="00AE613D" w:rsidRPr="00AE613D" w:rsidRDefault="3E4132A6" w:rsidP="00AE613D">
      <w:pPr>
        <w:numPr>
          <w:ilvl w:val="0"/>
          <w:numId w:val="5"/>
        </w:numPr>
      </w:pPr>
      <w:r w:rsidRPr="56133BFF">
        <w:rPr>
          <w:b/>
          <w:bCs/>
        </w:rPr>
        <w:t>Losing essential capacity that will take years to rebuild.</w:t>
      </w:r>
      <w:r>
        <w:t xml:space="preserve"> Engagement depends on skilled people, trusted relationships and the partnerships they sustain. </w:t>
      </w:r>
      <w:r w:rsidR="09C8F1A6">
        <w:t xml:space="preserve">This </w:t>
      </w:r>
      <w:r w:rsidR="09C8F1A6" w:rsidRPr="56133BFF">
        <w:rPr>
          <w:i/>
          <w:iCs/>
        </w:rPr>
        <w:t>relational infrastructure</w:t>
      </w:r>
      <w:r w:rsidR="09C8F1A6">
        <w:t xml:space="preserve"> is critical to how universities are creating public value. </w:t>
      </w:r>
      <w:r>
        <w:t xml:space="preserve">Once lost, </w:t>
      </w:r>
      <w:r w:rsidR="09C8F1A6">
        <w:t xml:space="preserve">it </w:t>
      </w:r>
      <w:r>
        <w:t>cannot be quickly replaced.</w:t>
      </w:r>
    </w:p>
    <w:p w14:paraId="1FC7A81E" w14:textId="340A0FE2" w:rsidR="00720255" w:rsidRPr="00720255" w:rsidRDefault="00AE613D" w:rsidP="00720255">
      <w:pPr>
        <w:numPr>
          <w:ilvl w:val="0"/>
          <w:numId w:val="5"/>
        </w:numPr>
      </w:pPr>
      <w:r w:rsidRPr="00AE613D">
        <w:rPr>
          <w:b/>
          <w:bCs/>
        </w:rPr>
        <w:t>Relationships turning transactional.</w:t>
      </w:r>
      <w:r w:rsidRPr="00AE613D">
        <w:t xml:space="preserve"> </w:t>
      </w:r>
      <w:r w:rsidR="00720255" w:rsidRPr="00720255">
        <w:t>Short-term funding drives “helicopter in, helicopter out” working</w:t>
      </w:r>
      <w:r w:rsidR="004D23BF">
        <w:t xml:space="preserve"> that favours the </w:t>
      </w:r>
      <w:r w:rsidR="00720255" w:rsidRPr="00720255">
        <w:t>extractive habits that damage trust, undermine mutual benefit, and weaken the relationships on which confidence in universities depends.</w:t>
      </w:r>
    </w:p>
    <w:p w14:paraId="633AC2B0" w14:textId="6D76C695" w:rsidR="00AE613D" w:rsidRPr="00AE613D" w:rsidRDefault="3CAD8D61" w:rsidP="00AE613D">
      <w:pPr>
        <w:numPr>
          <w:ilvl w:val="0"/>
          <w:numId w:val="5"/>
        </w:numPr>
      </w:pPr>
      <w:r w:rsidRPr="56133BFF">
        <w:rPr>
          <w:rStyle w:val="cf01"/>
        </w:rPr>
        <w:t>T</w:t>
      </w:r>
      <w:r w:rsidRPr="56133BFF">
        <w:rPr>
          <w:rFonts w:eastAsiaTheme="minorEastAsia"/>
          <w:b/>
          <w:bCs/>
        </w:rPr>
        <w:t xml:space="preserve">he value of engagement becoming less visible. </w:t>
      </w:r>
      <w:r w:rsidRPr="56133BFF">
        <w:rPr>
          <w:rFonts w:eastAsiaTheme="minorEastAsia"/>
        </w:rPr>
        <w:t>Engagement creates public value, but much of that value is relational, long-term and difficult to quantify. Unless it is better recognised and evidenced, engagement risks being undervalued despite contributing to many of the outcomes the sector is now being asked to deliver.</w:t>
      </w:r>
    </w:p>
    <w:p w14:paraId="2EA6EE62" w14:textId="042556FE" w:rsidR="00AE613D" w:rsidRPr="00AE613D" w:rsidRDefault="3E4132A6" w:rsidP="00AE613D">
      <w:pPr>
        <w:numPr>
          <w:ilvl w:val="0"/>
          <w:numId w:val="5"/>
        </w:numPr>
      </w:pPr>
      <w:r w:rsidRPr="56133BFF">
        <w:rPr>
          <w:b/>
          <w:bCs/>
        </w:rPr>
        <w:t>Inequities being left unaddressed.</w:t>
      </w:r>
      <w:r>
        <w:t xml:space="preserve"> Power imbalances persist, in who controls funding </w:t>
      </w:r>
      <w:proofErr w:type="gramStart"/>
      <w:r>
        <w:t xml:space="preserve">and in our </w:t>
      </w:r>
      <w:r w:rsidR="09C8F1A6">
        <w:t>in</w:t>
      </w:r>
      <w:r>
        <w:t>ability</w:t>
      </w:r>
      <w:proofErr w:type="gramEnd"/>
      <w:r>
        <w:t xml:space="preserve"> to pay partners fairly, undermining the equity engagement is meant to advance.</w:t>
      </w:r>
    </w:p>
    <w:p w14:paraId="5513EEE2" w14:textId="487818AE" w:rsidR="00AE613D" w:rsidRPr="00AE613D" w:rsidRDefault="3E4132A6" w:rsidP="00AE613D">
      <w:pPr>
        <w:numPr>
          <w:ilvl w:val="0"/>
          <w:numId w:val="5"/>
        </w:numPr>
      </w:pPr>
      <w:r w:rsidRPr="56133BFF">
        <w:rPr>
          <w:b/>
          <w:bCs/>
        </w:rPr>
        <w:t>Reversing hard-won progress.</w:t>
      </w:r>
      <w:r>
        <w:t xml:space="preserve"> </w:t>
      </w:r>
      <w:r w:rsidR="09C8F1A6">
        <w:t xml:space="preserve">Engagement </w:t>
      </w:r>
      <w:r>
        <w:t xml:space="preserve">capability exists in </w:t>
      </w:r>
      <w:r w:rsidR="09C8F1A6">
        <w:t xml:space="preserve">deep </w:t>
      </w:r>
      <w:r>
        <w:t>pockets</w:t>
      </w:r>
      <w:r w:rsidR="09C8F1A6">
        <w:t xml:space="preserve"> across the UK</w:t>
      </w:r>
      <w:r>
        <w:t xml:space="preserve">. The question is whether we sustain the conditions that allow it to </w:t>
      </w:r>
      <w:proofErr w:type="gramStart"/>
      <w:r>
        <w:t>flourish</w:t>
      </w:r>
      <w:r w:rsidR="4C9C18F1">
        <w:t xml:space="preserve">, </w:t>
      </w:r>
      <w:r>
        <w:t>or</w:t>
      </w:r>
      <w:proofErr w:type="gramEnd"/>
      <w:r>
        <w:t xml:space="preserve"> allow this moment to hollow them out.</w:t>
      </w:r>
    </w:p>
    <w:p w14:paraId="0CA81DDB" w14:textId="515B1761" w:rsidR="007E166E" w:rsidRPr="007E166E" w:rsidRDefault="3CAD8D61" w:rsidP="56133BFF">
      <w:pPr>
        <w:spacing w:before="100" w:beforeAutospacing="1" w:after="100" w:afterAutospacing="1" w:line="240" w:lineRule="auto"/>
        <w:rPr>
          <w:rFonts w:ascii="Arial" w:eastAsia="Times New Roman" w:hAnsi="Arial" w:cs="Arial"/>
          <w:kern w:val="0"/>
          <w:lang w:eastAsia="en-GB"/>
          <w14:ligatures w14:val="none"/>
        </w:rPr>
      </w:pPr>
      <w:r w:rsidRPr="56133BFF">
        <w:rPr>
          <w:rFonts w:ascii="Segoe UI" w:eastAsia="Times New Roman" w:hAnsi="Segoe UI" w:cs="Segoe UI"/>
          <w:sz w:val="20"/>
          <w:szCs w:val="20"/>
          <w:lang w:eastAsia="en-GB"/>
        </w:rPr>
        <w:t>The drift is not inevitable. It is the cumulative effect of decisions made under pressure, and it can be addressed through deliberate choices made across the system.</w:t>
      </w:r>
    </w:p>
    <w:p w14:paraId="288E17ED" w14:textId="51579B9F" w:rsidR="007E166E" w:rsidRPr="00DA0E2E" w:rsidRDefault="3CAD8D61" w:rsidP="56133BFF">
      <w:pPr>
        <w:spacing w:before="100" w:beforeAutospacing="1" w:after="100" w:afterAutospacing="1" w:line="240" w:lineRule="auto"/>
        <w:rPr>
          <w:rFonts w:ascii="Arial" w:eastAsia="Times New Roman" w:hAnsi="Arial" w:cs="Arial"/>
          <w:kern w:val="0"/>
          <w:lang w:eastAsia="en-GB"/>
          <w14:ligatures w14:val="none"/>
        </w:rPr>
      </w:pPr>
      <w:r w:rsidRPr="007E166E">
        <w:rPr>
          <w:rFonts w:ascii="Segoe UI" w:eastAsia="Times New Roman" w:hAnsi="Segoe UI" w:cs="Segoe UI"/>
          <w:kern w:val="0"/>
          <w:sz w:val="20"/>
          <w:szCs w:val="20"/>
          <w:lang w:eastAsia="en-GB"/>
          <w14:ligatures w14:val="none"/>
        </w:rPr>
        <w:t xml:space="preserve">The future will not look like the past. As universities respond to </w:t>
      </w:r>
      <w:r w:rsidRPr="56133BFF">
        <w:rPr>
          <w:rFonts w:ascii="Segoe UI" w:eastAsia="Times New Roman" w:hAnsi="Segoe UI" w:cs="Segoe UI"/>
          <w:sz w:val="20"/>
          <w:szCs w:val="20"/>
          <w:lang w:eastAsia="en-GB"/>
        </w:rPr>
        <w:t>new technologies, devolution, changing public expectations</w:t>
      </w:r>
      <w:r>
        <w:rPr>
          <w:rFonts w:ascii="Segoe UI" w:eastAsia="Times New Roman" w:hAnsi="Segoe UI" w:cs="Segoe UI"/>
          <w:kern w:val="0"/>
          <w:sz w:val="20"/>
          <w:szCs w:val="20"/>
          <w:lang w:eastAsia="en-GB"/>
          <w14:ligatures w14:val="none"/>
        </w:rPr>
        <w:t>,</w:t>
      </w:r>
      <w:r w:rsidRPr="007E166E">
        <w:rPr>
          <w:rFonts w:ascii="Segoe UI" w:eastAsia="Times New Roman" w:hAnsi="Segoe UI" w:cs="Segoe UI"/>
          <w:kern w:val="0"/>
          <w:sz w:val="20"/>
          <w:szCs w:val="20"/>
          <w:lang w:eastAsia="en-GB"/>
          <w14:ligatures w14:val="none"/>
        </w:rPr>
        <w:t xml:space="preserve"> and increasing demands for public value, engagement infrastructure will need not only to be protected but reimagined too. The institutions most likely to thrive will be those with strong relationships, deep connections to place and the ability to work collaboratively with others to address shared challenges.</w:t>
      </w:r>
    </w:p>
    <w:p w14:paraId="406E33D0" w14:textId="77777777" w:rsidR="00AE613D" w:rsidRPr="00401ECF" w:rsidRDefault="00AE613D" w:rsidP="00401ECF">
      <w:pPr>
        <w:spacing w:before="240" w:after="60"/>
        <w:rPr>
          <w:b/>
          <w:bCs/>
          <w:color w:val="2E7D74"/>
          <w:sz w:val="24"/>
          <w:szCs w:val="24"/>
        </w:rPr>
      </w:pPr>
    </w:p>
    <w:p w14:paraId="72E82450" w14:textId="77777777" w:rsidR="00AE613D" w:rsidRPr="00401ECF" w:rsidRDefault="00AE613D" w:rsidP="00FA7C41">
      <w:pPr>
        <w:pStyle w:val="Heading2"/>
      </w:pPr>
      <w:bookmarkStart w:id="3" w:name="_Toc243476452"/>
      <w:r w:rsidRPr="00401ECF">
        <w:t>What all of us can do</w:t>
      </w:r>
      <w:bookmarkEnd w:id="3"/>
    </w:p>
    <w:p w14:paraId="1DADD589" w14:textId="5B1010A2" w:rsidR="00512A45" w:rsidRPr="00C336AD" w:rsidRDefault="00AE613D" w:rsidP="004861FE">
      <w:pPr>
        <w:spacing w:line="276" w:lineRule="auto"/>
        <w:rPr>
          <w:highlight w:val="yellow"/>
        </w:rPr>
      </w:pPr>
      <w:r>
        <w:t xml:space="preserve">Drawing on the work of </w:t>
      </w:r>
      <w:hyperlink r:id="rId15" w:history="1">
        <w:r w:rsidRPr="008F7BE4">
          <w:rPr>
            <w:rStyle w:val="Hyperlink"/>
            <w:i/>
            <w:iCs/>
            <w:color w:val="00A8AB"/>
          </w:rPr>
          <w:t>Engaged Futures</w:t>
        </w:r>
      </w:hyperlink>
      <w:r w:rsidRPr="00785C74">
        <w:rPr>
          <w:color w:val="00A8AB"/>
        </w:rPr>
        <w:t xml:space="preserve"> </w:t>
      </w:r>
      <w:r>
        <w:t xml:space="preserve">and findings in the </w:t>
      </w:r>
      <w:r w:rsidRPr="007A41C9">
        <w:rPr>
          <w:i/>
          <w:iCs/>
        </w:rPr>
        <w:t>State of the Sector</w:t>
      </w:r>
      <w:r w:rsidR="004D23BF">
        <w:t xml:space="preserve"> report</w:t>
      </w:r>
      <w:r>
        <w:t>, we have identified</w:t>
      </w:r>
      <w:r w:rsidR="00B80F2B">
        <w:t xml:space="preserve"> key</w:t>
      </w:r>
      <w:r>
        <w:t xml:space="preserve"> recommendations for all those involved in the sector</w:t>
      </w:r>
      <w:r w:rsidR="0080614D">
        <w:t>, including the NCCPE</w:t>
      </w:r>
      <w:r w:rsidR="00512A45" w:rsidRPr="00C336AD">
        <w:t>.</w:t>
      </w:r>
      <w:r w:rsidRPr="00C336AD">
        <w:t xml:space="preserve"> No single actor can hold this ground alone</w:t>
      </w:r>
      <w:r w:rsidR="00512A45" w:rsidRPr="00C336AD">
        <w:t>;</w:t>
      </w:r>
      <w:r w:rsidRPr="00C336AD">
        <w:t xml:space="preserve"> that is the nature of drift, and the reason this is a collective call.</w:t>
      </w:r>
      <w:r w:rsidR="00C336AD" w:rsidRPr="00C336AD">
        <w:rPr>
          <w:rFonts w:ascii="Segoe UI" w:eastAsia="Times New Roman" w:hAnsi="Segoe UI" w:cs="Segoe UI"/>
          <w:kern w:val="0"/>
          <w:sz w:val="21"/>
          <w:szCs w:val="21"/>
          <w:lang w:eastAsia="en-GB"/>
          <w14:ligatures w14:val="none"/>
        </w:rPr>
        <w:t xml:space="preserve"> </w:t>
      </w:r>
      <w:r w:rsidR="00C336AD" w:rsidRPr="00C336AD">
        <w:t xml:space="preserve">Recent reports from the Royal Society examine the evolving relationship between science and society and set out compelling recommendations for action. Many of these align closely with those outlined here, and we </w:t>
      </w:r>
      <w:r w:rsidR="00C336AD">
        <w:t>join</w:t>
      </w:r>
      <w:r w:rsidR="00C336AD" w:rsidRPr="00C336AD">
        <w:t xml:space="preserve"> their call for action</w:t>
      </w:r>
      <w:r w:rsidR="0080614D" w:rsidRPr="00C336AD">
        <w:t>.</w:t>
      </w:r>
      <w:r w:rsidR="0080614D" w:rsidRPr="0080614D">
        <w:t xml:space="preserve"> </w:t>
      </w:r>
      <w:r>
        <w:t xml:space="preserve">The question is not what someone else should do. It is what each of us, in our own part of the system, can do to protect and strengthen what we have built together. </w:t>
      </w:r>
    </w:p>
    <w:p w14:paraId="574A0048" w14:textId="77777777" w:rsidR="0080614D" w:rsidRDefault="0080614D" w:rsidP="004861FE">
      <w:pPr>
        <w:spacing w:line="276" w:lineRule="auto"/>
      </w:pPr>
    </w:p>
    <w:p w14:paraId="301F59E1" w14:textId="465573D8" w:rsidR="004861FE" w:rsidRPr="004861FE" w:rsidRDefault="00AE613D" w:rsidP="004861FE">
      <w:pPr>
        <w:spacing w:line="276" w:lineRule="auto"/>
      </w:pPr>
      <w:r>
        <w:t xml:space="preserve">Below are actions shared by all of us, followed by what they look like for each group. </w:t>
      </w:r>
      <w:r w:rsidR="004861FE" w:rsidRPr="004861FE">
        <w:t>The NCCPE is part of this collective effort, and our own commitments sit alongside those of others.</w:t>
      </w:r>
    </w:p>
    <w:p w14:paraId="1F0455DD" w14:textId="77777777" w:rsidR="00AE613D" w:rsidRDefault="00AE613D" w:rsidP="00AE613D">
      <w:pPr>
        <w:spacing w:line="276" w:lineRule="auto"/>
      </w:pPr>
      <w:r>
        <w:t>Two commitments cut across every part of the sector and underpin everything that follows.</w:t>
      </w:r>
    </w:p>
    <w:p w14:paraId="67484F60" w14:textId="6E495381" w:rsidR="00F86C08" w:rsidRDefault="00F86C08" w:rsidP="56133BFF">
      <w:pPr>
        <w:spacing w:after="100" w:line="268" w:lineRule="auto"/>
        <w:ind w:left="540"/>
      </w:pPr>
    </w:p>
    <w:p w14:paraId="6C4A33B8" w14:textId="356216CA" w:rsidR="007E166E" w:rsidRDefault="3CAD8D61" w:rsidP="56133BFF">
      <w:pPr>
        <w:pStyle w:val="ListParagraph"/>
        <w:numPr>
          <w:ilvl w:val="0"/>
          <w:numId w:val="23"/>
        </w:numPr>
        <w:spacing w:after="100" w:line="268" w:lineRule="auto"/>
      </w:pPr>
      <w:r w:rsidRPr="56133BFF">
        <w:rPr>
          <w:b/>
          <w:bCs/>
        </w:rPr>
        <w:t>Treat engagement as essential infrastructure</w:t>
      </w:r>
      <w:r>
        <w:t xml:space="preserve">. Recognise and resource engagement as a core part of how the sector creates value, legitimacy and public trust: </w:t>
      </w:r>
      <w:proofErr w:type="gramStart"/>
      <w:r>
        <w:t>load-bearing</w:t>
      </w:r>
      <w:proofErr w:type="gramEnd"/>
      <w:r>
        <w:t>, not discretionary; structural, not an optional extra. The task is not only to protect what has been built, but to develop and strengthen it for the future.</w:t>
      </w:r>
    </w:p>
    <w:p w14:paraId="73D727B6" w14:textId="2EC85FAD" w:rsidR="007C4A4C" w:rsidRDefault="3CAD8D61" w:rsidP="56133BFF">
      <w:pPr>
        <w:pStyle w:val="ListParagraph"/>
        <w:numPr>
          <w:ilvl w:val="0"/>
          <w:numId w:val="23"/>
        </w:numPr>
        <w:spacing w:before="240" w:after="100" w:line="268" w:lineRule="auto"/>
        <w:rPr>
          <w:b/>
          <w:bCs/>
          <w:color w:val="2E7D74"/>
          <w:sz w:val="24"/>
          <w:szCs w:val="24"/>
        </w:rPr>
      </w:pPr>
      <w:r w:rsidRPr="56133BFF">
        <w:rPr>
          <w:b/>
          <w:bCs/>
        </w:rPr>
        <w:t xml:space="preserve">Close the gap between values and systems. </w:t>
      </w:r>
      <w:r>
        <w:t>We already understand why engagement matters. The shared task is to align funding, evaluation and institutional structures with that understanding, so commitment is carried by the system, not only by individual goodwill. In a changing world, these systems must enable engagement to adapt, innovate and continue creating public value for people, places and communities</w:t>
      </w:r>
      <w:r w:rsidR="6AC12D3D">
        <w:t>.</w:t>
      </w:r>
    </w:p>
    <w:p w14:paraId="23D3BC12" w14:textId="6737449E" w:rsidR="007C4A4C" w:rsidRDefault="007C4A4C" w:rsidP="56133BFF">
      <w:pPr>
        <w:pStyle w:val="ListParagraph"/>
        <w:spacing w:before="240" w:after="100" w:line="268" w:lineRule="auto"/>
        <w:rPr>
          <w:b/>
          <w:bCs/>
          <w:color w:val="2E7D74"/>
          <w:sz w:val="24"/>
          <w:szCs w:val="24"/>
        </w:rPr>
      </w:pPr>
    </w:p>
    <w:p w14:paraId="513ECE96" w14:textId="77777777" w:rsidR="00111B0A" w:rsidRDefault="00111B0A" w:rsidP="56133BFF">
      <w:pPr>
        <w:pStyle w:val="ListParagraph"/>
        <w:spacing w:before="240" w:after="100" w:line="268" w:lineRule="auto"/>
        <w:rPr>
          <w:b/>
          <w:bCs/>
          <w:color w:val="2E7D74"/>
          <w:sz w:val="24"/>
          <w:szCs w:val="24"/>
        </w:rPr>
      </w:pPr>
    </w:p>
    <w:p w14:paraId="4B2230A7" w14:textId="243809BE" w:rsidR="007C4A4C" w:rsidRDefault="07329B14" w:rsidP="00FA7C41">
      <w:pPr>
        <w:pStyle w:val="Heading2"/>
      </w:pPr>
      <w:bookmarkStart w:id="4" w:name="_Toc243476453"/>
      <w:r w:rsidRPr="56133BFF">
        <w:t>Recommendations</w:t>
      </w:r>
      <w:bookmarkEnd w:id="4"/>
    </w:p>
    <w:p w14:paraId="13E9458F" w14:textId="002B0B32" w:rsidR="007C4A4C" w:rsidRPr="00111B0A" w:rsidRDefault="07329B14" w:rsidP="00111B0A">
      <w:pPr>
        <w:spacing w:after="0" w:line="300" w:lineRule="atLeast"/>
        <w:rPr>
          <w:rFonts w:ascii="Segoe UI" w:eastAsia="Times New Roman" w:hAnsi="Segoe UI" w:cs="Segoe UI"/>
          <w:sz w:val="21"/>
          <w:szCs w:val="21"/>
          <w:lang w:eastAsia="en-GB"/>
        </w:rPr>
      </w:pPr>
      <w:r>
        <w:t xml:space="preserve">These recommendations focus on a small number of </w:t>
      </w:r>
      <w:r w:rsidR="2962C31D">
        <w:t xml:space="preserve">priority </w:t>
      </w:r>
      <w:r>
        <w:t>actions that will protect and strengthen the relationships, capacity and visibility that make meaningful engagement</w:t>
      </w:r>
      <w:r w:rsidR="3AEA04D8">
        <w:t xml:space="preserve"> </w:t>
      </w:r>
      <w:r w:rsidR="26BA4F33">
        <w:t>– a</w:t>
      </w:r>
      <w:r>
        <w:t>nd public trust</w:t>
      </w:r>
      <w:r w:rsidR="26BA4F33">
        <w:t xml:space="preserve"> – p</w:t>
      </w:r>
      <w:r>
        <w:t>ossible.</w:t>
      </w:r>
    </w:p>
    <w:p w14:paraId="10D82487" w14:textId="77777777" w:rsidR="00111B0A" w:rsidRDefault="00111B0A" w:rsidP="00111B0A">
      <w:pPr>
        <w:pStyle w:val="ListParagraph"/>
        <w:spacing w:after="0" w:line="300" w:lineRule="atLeast"/>
      </w:pPr>
    </w:p>
    <w:p w14:paraId="01B379FE" w14:textId="77777777" w:rsidR="00111B0A" w:rsidRPr="007C4A4C" w:rsidRDefault="00111B0A" w:rsidP="00111B0A">
      <w:pPr>
        <w:pStyle w:val="ListParagraph"/>
        <w:spacing w:after="0" w:line="300" w:lineRule="atLeast"/>
        <w:rPr>
          <w:rFonts w:ascii="Segoe UI" w:eastAsia="Times New Roman" w:hAnsi="Segoe UI" w:cs="Segoe UI"/>
          <w:sz w:val="21"/>
          <w:szCs w:val="21"/>
          <w:lang w:eastAsia="en-GB"/>
        </w:rPr>
      </w:pPr>
    </w:p>
    <w:p w14:paraId="6B0F9C5D" w14:textId="571E940A" w:rsidR="002506D9" w:rsidRDefault="002506D9" w:rsidP="00FA7C41">
      <w:pPr>
        <w:pStyle w:val="Heading3"/>
      </w:pPr>
      <w:bookmarkStart w:id="5" w:name="_Toc243476454"/>
      <w:r w:rsidRPr="002506D9">
        <w:t>For Funders</w:t>
      </w:r>
      <w:bookmarkEnd w:id="5"/>
    </w:p>
    <w:p w14:paraId="50EE9219" w14:textId="77777777" w:rsidR="002506D9" w:rsidRPr="0075056C" w:rsidRDefault="002506D9" w:rsidP="0075056C">
      <w:pPr>
        <w:spacing w:after="100" w:line="268" w:lineRule="auto"/>
      </w:pPr>
      <w:r w:rsidRPr="0075056C">
        <w:rPr>
          <w:i/>
          <w:iCs/>
          <w:color w:val="595959"/>
        </w:rPr>
        <w:t>To enable high-quality, equitable, and sustainable public engagement:</w:t>
      </w:r>
    </w:p>
    <w:p w14:paraId="2642F98B" w14:textId="29BE9777" w:rsidR="007E166E" w:rsidRDefault="09C8F1A6" w:rsidP="56133BFF">
      <w:pPr>
        <w:pStyle w:val="ListParagraph"/>
        <w:numPr>
          <w:ilvl w:val="0"/>
          <w:numId w:val="18"/>
        </w:numPr>
        <w:spacing w:before="100" w:beforeAutospacing="1" w:after="120" w:line="24" w:lineRule="atLeast"/>
      </w:pPr>
      <w:r w:rsidRPr="56133BFF">
        <w:rPr>
          <w:b/>
          <w:bCs/>
        </w:rPr>
        <w:t>Signal strategic commitment to engagement</w:t>
      </w:r>
      <w:r>
        <w:t xml:space="preserve">. Clearly articulate how engagement contributes to funder priorities to avoid perceptions that it is optional or declining in importance. </w:t>
      </w:r>
    </w:p>
    <w:p w14:paraId="6205A463" w14:textId="52FD0A29" w:rsidR="00D50749" w:rsidRPr="00193FFA" w:rsidRDefault="0970CBB7" w:rsidP="56133BFF">
      <w:pPr>
        <w:pStyle w:val="ListParagraph"/>
        <w:numPr>
          <w:ilvl w:val="0"/>
          <w:numId w:val="18"/>
        </w:numPr>
        <w:spacing w:before="100" w:beforeAutospacing="1" w:after="120" w:line="24" w:lineRule="atLeast"/>
      </w:pPr>
      <w:r w:rsidRPr="56133BFF">
        <w:rPr>
          <w:b/>
          <w:bCs/>
        </w:rPr>
        <w:lastRenderedPageBreak/>
        <w:t xml:space="preserve">Invest in long-term, place-based partnerships, not short-term projects. </w:t>
      </w:r>
      <w:r>
        <w:t>Move beyond 2–</w:t>
      </w:r>
      <w:proofErr w:type="gramStart"/>
      <w:r>
        <w:t>3 year</w:t>
      </w:r>
      <w:proofErr w:type="gramEnd"/>
      <w:r>
        <w:t xml:space="preserve"> cycles to funding models that sustain relationships over time and connect research and innovation to local knowledge, priorities and opportunities.</w:t>
      </w:r>
    </w:p>
    <w:p w14:paraId="19D2E837" w14:textId="44A6B7D7" w:rsidR="004D23BF" w:rsidRDefault="09C8F1A6" w:rsidP="56133BFF">
      <w:pPr>
        <w:pStyle w:val="ListParagraph"/>
        <w:numPr>
          <w:ilvl w:val="0"/>
          <w:numId w:val="18"/>
        </w:numPr>
        <w:spacing w:before="100" w:beforeAutospacing="1" w:after="120" w:line="24" w:lineRule="atLeast"/>
      </w:pPr>
      <w:r w:rsidRPr="56133BFF">
        <w:rPr>
          <w:b/>
          <w:bCs/>
        </w:rPr>
        <w:t>Align funding and assessment with relational value.</w:t>
      </w:r>
      <w:r>
        <w:t xml:space="preserve"> Recognise trust-building, partnership quality and long-term change</w:t>
      </w:r>
      <w:r w:rsidR="05022391">
        <w:t xml:space="preserve">, </w:t>
      </w:r>
      <w:r>
        <w:t>not just short-term metrics.</w:t>
      </w:r>
    </w:p>
    <w:p w14:paraId="55A93276" w14:textId="676901CA" w:rsidR="00193FFA" w:rsidRDefault="04309035" w:rsidP="56133BFF">
      <w:pPr>
        <w:pStyle w:val="ListParagraph"/>
        <w:numPr>
          <w:ilvl w:val="0"/>
          <w:numId w:val="18"/>
        </w:numPr>
        <w:spacing w:before="100" w:beforeAutospacing="1" w:after="120" w:line="24" w:lineRule="atLeast"/>
      </w:pPr>
      <w:r w:rsidRPr="56133BFF">
        <w:rPr>
          <w:b/>
          <w:bCs/>
        </w:rPr>
        <w:t>Fund the full costs of engagement.</w:t>
      </w:r>
      <w:r>
        <w:t xml:space="preserve"> Include people, partnerships and community capacity</w:t>
      </w:r>
      <w:r w:rsidR="3AEA04D8">
        <w:t xml:space="preserve">, </w:t>
      </w:r>
      <w:r>
        <w:t>not just project delivery</w:t>
      </w:r>
      <w:r w:rsidR="2962C31D">
        <w:t xml:space="preserve"> and support fair and equitable distribution of resources across partners</w:t>
      </w:r>
      <w:r>
        <w:t xml:space="preserve">. </w:t>
      </w:r>
    </w:p>
    <w:p w14:paraId="058F317B" w14:textId="77777777" w:rsidR="00F86C08" w:rsidRDefault="00F86C08" w:rsidP="56133BFF">
      <w:pPr>
        <w:pStyle w:val="ListParagraph"/>
        <w:spacing w:before="100" w:beforeAutospacing="1" w:after="120" w:line="24" w:lineRule="atLeast"/>
      </w:pPr>
    </w:p>
    <w:p w14:paraId="7832DE11" w14:textId="77777777" w:rsidR="00602E8C" w:rsidRDefault="00602E8C" w:rsidP="00FA7C41">
      <w:pPr>
        <w:pStyle w:val="Heading3"/>
      </w:pPr>
      <w:bookmarkStart w:id="6" w:name="_Toc243476455"/>
      <w:r>
        <w:t>For University Leaders</w:t>
      </w:r>
      <w:bookmarkEnd w:id="6"/>
    </w:p>
    <w:p w14:paraId="527E2FE8" w14:textId="77777777" w:rsidR="00602E8C" w:rsidRDefault="00602E8C" w:rsidP="00602E8C">
      <w:pPr>
        <w:spacing w:after="100" w:line="268" w:lineRule="auto"/>
      </w:pPr>
      <w:r>
        <w:rPr>
          <w:i/>
          <w:iCs/>
          <w:color w:val="595959"/>
        </w:rPr>
        <w:t>To move from rhetorical commitment to structural embedment:</w:t>
      </w:r>
    </w:p>
    <w:p w14:paraId="0C563D51" w14:textId="3638380B" w:rsidR="0085363F" w:rsidRPr="0085363F" w:rsidRDefault="00E01CE0" w:rsidP="0085363F">
      <w:pPr>
        <w:pStyle w:val="ListParagraph"/>
        <w:numPr>
          <w:ilvl w:val="0"/>
          <w:numId w:val="10"/>
        </w:numPr>
        <w:spacing w:after="100" w:line="268" w:lineRule="auto"/>
      </w:pPr>
      <w:r w:rsidRPr="00024ECC">
        <w:rPr>
          <w:b/>
          <w:bCs/>
        </w:rPr>
        <w:t>Value</w:t>
      </w:r>
      <w:r w:rsidR="0085363F" w:rsidRPr="0085363F">
        <w:rPr>
          <w:b/>
          <w:bCs/>
        </w:rPr>
        <w:t xml:space="preserve"> and invest in engagement capacity.</w:t>
      </w:r>
      <w:r w:rsidR="0085363F" w:rsidRPr="0085363F">
        <w:t xml:space="preserve"> </w:t>
      </w:r>
      <w:r w:rsidR="00940966">
        <w:t>Value engagement</w:t>
      </w:r>
      <w:r w:rsidR="0085363F" w:rsidRPr="0085363F">
        <w:t xml:space="preserve"> roles, teams</w:t>
      </w:r>
      <w:r w:rsidR="00940966">
        <w:t>, leadership</w:t>
      </w:r>
      <w:r w:rsidR="0085363F" w:rsidRPr="0085363F">
        <w:t xml:space="preserve"> and partnerships as core institutional infrastructure</w:t>
      </w:r>
      <w:r w:rsidR="002063E8">
        <w:t xml:space="preserve">, </w:t>
      </w:r>
      <w:r w:rsidR="0085363F" w:rsidRPr="0085363F">
        <w:t xml:space="preserve">especially in times of constraint. </w:t>
      </w:r>
    </w:p>
    <w:p w14:paraId="637B0D16" w14:textId="443459DD" w:rsidR="0085363F" w:rsidRPr="0085363F" w:rsidRDefault="0085363F" w:rsidP="0085363F">
      <w:pPr>
        <w:pStyle w:val="ListParagraph"/>
        <w:numPr>
          <w:ilvl w:val="0"/>
          <w:numId w:val="10"/>
        </w:numPr>
        <w:spacing w:after="100" w:line="268" w:lineRule="auto"/>
      </w:pPr>
      <w:r w:rsidRPr="0085363F">
        <w:rPr>
          <w:b/>
          <w:bCs/>
        </w:rPr>
        <w:t>Align strategy with resourcing and systems.</w:t>
      </w:r>
      <w:r w:rsidRPr="0085363F">
        <w:t xml:space="preserve"> Ensure commitments to engagement are reflected in budgets, governance and operations. </w:t>
      </w:r>
    </w:p>
    <w:p w14:paraId="02B1FBD5" w14:textId="3F72567E" w:rsidR="0085363F" w:rsidRPr="0085363F" w:rsidRDefault="0085363F" w:rsidP="0085363F">
      <w:pPr>
        <w:pStyle w:val="ListParagraph"/>
        <w:numPr>
          <w:ilvl w:val="0"/>
          <w:numId w:val="10"/>
        </w:numPr>
        <w:spacing w:after="100" w:line="268" w:lineRule="auto"/>
      </w:pPr>
      <w:r w:rsidRPr="0085363F">
        <w:rPr>
          <w:b/>
          <w:bCs/>
        </w:rPr>
        <w:t>Make engagement count in careers.</w:t>
      </w:r>
      <w:r w:rsidRPr="0085363F">
        <w:t xml:space="preserve"> Embed it in promotion, workload and recognition systems for all staff. </w:t>
      </w:r>
    </w:p>
    <w:p w14:paraId="14E4BCA1" w14:textId="527D09CE" w:rsidR="007E166E" w:rsidRPr="00DA0E2E" w:rsidRDefault="0970CBB7" w:rsidP="007E166E">
      <w:pPr>
        <w:pStyle w:val="ListParagraph"/>
        <w:numPr>
          <w:ilvl w:val="0"/>
          <w:numId w:val="10"/>
        </w:numPr>
      </w:pPr>
      <w:r w:rsidRPr="56133BFF" w:rsidDel="00844F36">
        <w:rPr>
          <w:rFonts w:ascii="Segoe UI" w:eastAsia="Times New Roman" w:hAnsi="Segoe UI" w:cs="Segoe UI"/>
          <w:b/>
          <w:bCs/>
          <w:sz w:val="21"/>
          <w:szCs w:val="21"/>
          <w:lang w:eastAsia="en-GB"/>
        </w:rPr>
        <w:t xml:space="preserve"> </w:t>
      </w:r>
      <w:r w:rsidR="3CAD8D61" w:rsidRPr="56133BFF">
        <w:rPr>
          <w:b/>
          <w:bCs/>
        </w:rPr>
        <w:t xml:space="preserve">Articulate and evidence public value. </w:t>
      </w:r>
      <w:r w:rsidR="3CAD8D61">
        <w:t>Make the case that engagement helps create outcomes people can recognise, strengthens regional contribution and connects the university’s work to societal priorities.</w:t>
      </w:r>
    </w:p>
    <w:p w14:paraId="7A1353E0" w14:textId="2E50E0EC" w:rsidR="00F86C08" w:rsidRPr="0085363F" w:rsidRDefault="00F86C08" w:rsidP="56133BFF">
      <w:pPr>
        <w:pStyle w:val="ListParagraph"/>
        <w:spacing w:after="100" w:line="268" w:lineRule="auto"/>
        <w:ind w:left="540"/>
      </w:pPr>
    </w:p>
    <w:p w14:paraId="2411A3FC" w14:textId="77777777" w:rsidR="002C6AAD" w:rsidRDefault="002C6AAD" w:rsidP="00FA7C41">
      <w:pPr>
        <w:pStyle w:val="Heading3"/>
      </w:pPr>
      <w:bookmarkStart w:id="7" w:name="_Toc243476456"/>
      <w:r>
        <w:t>For Public Engagement Professionals</w:t>
      </w:r>
      <w:bookmarkEnd w:id="7"/>
    </w:p>
    <w:p w14:paraId="53CCCC98" w14:textId="77777777" w:rsidR="002C6AAD" w:rsidRDefault="002C6AAD" w:rsidP="002C6AAD">
      <w:pPr>
        <w:spacing w:after="100" w:line="268" w:lineRule="auto"/>
      </w:pPr>
      <w:r>
        <w:rPr>
          <w:i/>
          <w:iCs/>
          <w:color w:val="595959"/>
        </w:rPr>
        <w:t>To sustain quality and influence under pressure:</w:t>
      </w:r>
    </w:p>
    <w:p w14:paraId="5EB937AA" w14:textId="22324D97" w:rsidR="00A71D5E" w:rsidRPr="00A71D5E" w:rsidRDefault="00940966" w:rsidP="00A71D5E">
      <w:pPr>
        <w:pStyle w:val="ListParagraph"/>
        <w:numPr>
          <w:ilvl w:val="0"/>
          <w:numId w:val="12"/>
        </w:numPr>
        <w:spacing w:after="100" w:line="268" w:lineRule="auto"/>
      </w:pPr>
      <w:r>
        <w:rPr>
          <w:b/>
          <w:bCs/>
        </w:rPr>
        <w:t>Use your expertise to s</w:t>
      </w:r>
      <w:r w:rsidR="00A71D5E" w:rsidRPr="00A71D5E">
        <w:rPr>
          <w:b/>
          <w:bCs/>
        </w:rPr>
        <w:t>trengthen institutional capability for engagement.</w:t>
      </w:r>
      <w:r w:rsidR="00A71D5E" w:rsidRPr="00A71D5E">
        <w:t xml:space="preserve"> Continue to lead culture change </w:t>
      </w:r>
      <w:r>
        <w:t xml:space="preserve">to embed engagement </w:t>
      </w:r>
      <w:r w:rsidR="00A71D5E" w:rsidRPr="00A71D5E">
        <w:t xml:space="preserve">across research, teaching and civic activity. </w:t>
      </w:r>
    </w:p>
    <w:p w14:paraId="029970C5" w14:textId="394D8D82" w:rsidR="00A71D5E" w:rsidRPr="00A71D5E" w:rsidRDefault="00A71D5E" w:rsidP="00A71D5E">
      <w:pPr>
        <w:pStyle w:val="ListParagraph"/>
        <w:numPr>
          <w:ilvl w:val="0"/>
          <w:numId w:val="12"/>
        </w:numPr>
        <w:spacing w:after="100" w:line="268" w:lineRule="auto"/>
      </w:pPr>
      <w:r w:rsidRPr="00A71D5E">
        <w:rPr>
          <w:b/>
          <w:bCs/>
        </w:rPr>
        <w:t>Make engagement legible beyond the sector.</w:t>
      </w:r>
      <w:r w:rsidRPr="00A71D5E">
        <w:t xml:space="preserve"> Translate practice into narratives that resonate with publics</w:t>
      </w:r>
      <w:r w:rsidR="00253371">
        <w:t>, partners</w:t>
      </w:r>
      <w:r w:rsidRPr="00A71D5E">
        <w:t xml:space="preserve"> and policymakers. </w:t>
      </w:r>
    </w:p>
    <w:p w14:paraId="5387DA48" w14:textId="4842F6CD" w:rsidR="00A71D5E" w:rsidRPr="00A71D5E" w:rsidRDefault="00A71D5E" w:rsidP="00A71D5E">
      <w:pPr>
        <w:pStyle w:val="ListParagraph"/>
        <w:numPr>
          <w:ilvl w:val="0"/>
          <w:numId w:val="12"/>
        </w:numPr>
        <w:spacing w:after="100" w:line="268" w:lineRule="auto"/>
      </w:pPr>
      <w:r w:rsidRPr="00A71D5E">
        <w:rPr>
          <w:b/>
          <w:bCs/>
        </w:rPr>
        <w:t>Champion meaningful evaluation approaches.</w:t>
      </w:r>
      <w:r w:rsidRPr="00A71D5E">
        <w:t xml:space="preserve"> Prioritise methods that capture relational, long-term and qualitative value. </w:t>
      </w:r>
    </w:p>
    <w:p w14:paraId="1DCDD626" w14:textId="184322C0" w:rsidR="00A71D5E" w:rsidRPr="00A71D5E" w:rsidRDefault="00A71D5E" w:rsidP="00A71D5E">
      <w:pPr>
        <w:pStyle w:val="ListParagraph"/>
        <w:numPr>
          <w:ilvl w:val="0"/>
          <w:numId w:val="12"/>
        </w:numPr>
        <w:spacing w:after="100" w:line="268" w:lineRule="auto"/>
      </w:pPr>
      <w:r w:rsidRPr="00A71D5E">
        <w:rPr>
          <w:b/>
          <w:bCs/>
        </w:rPr>
        <w:t>Model and advocate for equitable practice.</w:t>
      </w:r>
      <w:r w:rsidRPr="00A71D5E">
        <w:t xml:space="preserve"> Embed fair partnerships, inclusive processes and non-extractive ways of working.</w:t>
      </w:r>
    </w:p>
    <w:p w14:paraId="2A2C25DB" w14:textId="77777777" w:rsidR="007D13F6" w:rsidRDefault="007D13F6" w:rsidP="00FA7C41">
      <w:pPr>
        <w:pStyle w:val="Heading3"/>
      </w:pPr>
      <w:bookmarkStart w:id="8" w:name="_Toc243476457"/>
      <w:r>
        <w:t>For Academics and Researchers</w:t>
      </w:r>
      <w:bookmarkEnd w:id="8"/>
    </w:p>
    <w:p w14:paraId="7AB50DA3" w14:textId="77777777" w:rsidR="007D13F6" w:rsidRDefault="007D13F6" w:rsidP="007D13F6">
      <w:pPr>
        <w:spacing w:after="100" w:line="268" w:lineRule="auto"/>
      </w:pPr>
      <w:r>
        <w:rPr>
          <w:i/>
          <w:iCs/>
          <w:color w:val="595959"/>
        </w:rPr>
        <w:t>To embed meaningful engagement in research practice:</w:t>
      </w:r>
    </w:p>
    <w:p w14:paraId="6827E2F5" w14:textId="1FC3F49F" w:rsidR="00FC4486" w:rsidRPr="00FC4486" w:rsidRDefault="00940966" w:rsidP="00940966">
      <w:pPr>
        <w:pStyle w:val="ListParagraph"/>
        <w:numPr>
          <w:ilvl w:val="0"/>
          <w:numId w:val="19"/>
        </w:numPr>
        <w:spacing w:after="100" w:line="268" w:lineRule="auto"/>
      </w:pPr>
      <w:r w:rsidRPr="00940966">
        <w:rPr>
          <w:b/>
          <w:bCs/>
        </w:rPr>
        <w:t>Respect</w:t>
      </w:r>
      <w:r w:rsidR="00FC4486" w:rsidRPr="00940966">
        <w:rPr>
          <w:b/>
          <w:bCs/>
        </w:rPr>
        <w:t xml:space="preserve"> engagement as core scholarly practice.</w:t>
      </w:r>
      <w:r w:rsidR="00FC4486" w:rsidRPr="00FC4486">
        <w:t xml:space="preserve"> </w:t>
      </w:r>
      <w:r>
        <w:t>Treat engagement as integral to research excellence; p</w:t>
      </w:r>
      <w:r w:rsidR="00FC4486" w:rsidRPr="00FC4486">
        <w:t xml:space="preserve">art of research design, not an add-on. </w:t>
      </w:r>
    </w:p>
    <w:p w14:paraId="194E9DA1" w14:textId="77B5F428" w:rsidR="00940966" w:rsidRDefault="00940966" w:rsidP="00940966">
      <w:pPr>
        <w:pStyle w:val="ListParagraph"/>
        <w:numPr>
          <w:ilvl w:val="0"/>
          <w:numId w:val="19"/>
        </w:numPr>
        <w:spacing w:after="100" w:line="268" w:lineRule="auto"/>
      </w:pPr>
      <w:r w:rsidRPr="00940966">
        <w:rPr>
          <w:b/>
          <w:bCs/>
        </w:rPr>
        <w:t>Use engagement to strengthen research quality.</w:t>
      </w:r>
      <w:r w:rsidRPr="00FC4486">
        <w:t xml:space="preserve"> Draw on diverse perspectives to improve relevance, ethics and impact.</w:t>
      </w:r>
      <w:r w:rsidRPr="00940966">
        <w:t xml:space="preserve"> </w:t>
      </w:r>
      <w:r w:rsidRPr="00FC4486">
        <w:t>Move beyond dissemination to co-creation and collaboration</w:t>
      </w:r>
      <w:r>
        <w:t>, where it is meaningful to do so</w:t>
      </w:r>
      <w:r w:rsidRPr="00FC4486">
        <w:t>.</w:t>
      </w:r>
    </w:p>
    <w:p w14:paraId="3B3CCF58" w14:textId="226C09B4" w:rsidR="00940966" w:rsidRDefault="00FC4486" w:rsidP="00940966">
      <w:pPr>
        <w:pStyle w:val="ListParagraph"/>
        <w:numPr>
          <w:ilvl w:val="0"/>
          <w:numId w:val="19"/>
        </w:numPr>
        <w:spacing w:after="100" w:line="268" w:lineRule="auto"/>
      </w:pPr>
      <w:r w:rsidRPr="00940966">
        <w:rPr>
          <w:b/>
          <w:bCs/>
        </w:rPr>
        <w:t>Invest in long-term relationships</w:t>
      </w:r>
      <w:r w:rsidR="00940966" w:rsidRPr="00940966">
        <w:rPr>
          <w:b/>
          <w:bCs/>
        </w:rPr>
        <w:t xml:space="preserve"> and involve partners </w:t>
      </w:r>
      <w:r w:rsidR="00331079">
        <w:rPr>
          <w:b/>
          <w:bCs/>
        </w:rPr>
        <w:t>from</w:t>
      </w:r>
      <w:r w:rsidR="00331079" w:rsidRPr="00940966">
        <w:rPr>
          <w:b/>
          <w:bCs/>
        </w:rPr>
        <w:t xml:space="preserve"> </w:t>
      </w:r>
      <w:r w:rsidR="00940966" w:rsidRPr="00940966">
        <w:rPr>
          <w:b/>
          <w:bCs/>
        </w:rPr>
        <w:t>the start of research design</w:t>
      </w:r>
      <w:r w:rsidRPr="00940966">
        <w:rPr>
          <w:b/>
          <w:bCs/>
        </w:rPr>
        <w:t>.</w:t>
      </w:r>
      <w:r w:rsidRPr="00FC4486">
        <w:t xml:space="preserve"> Prioritise trust, continuity and mutual benefit over transactional approaches.</w:t>
      </w:r>
    </w:p>
    <w:p w14:paraId="3208EBFE" w14:textId="62F51157" w:rsidR="00FC4486" w:rsidRPr="00FC4486" w:rsidRDefault="00940966" w:rsidP="00940966">
      <w:pPr>
        <w:pStyle w:val="ListParagraph"/>
        <w:numPr>
          <w:ilvl w:val="0"/>
          <w:numId w:val="19"/>
        </w:numPr>
        <w:spacing w:after="100" w:line="268" w:lineRule="auto"/>
      </w:pPr>
      <w:r w:rsidRPr="00940966">
        <w:rPr>
          <w:b/>
          <w:bCs/>
        </w:rPr>
        <w:t xml:space="preserve">Advocate for engagement within disciplines. </w:t>
      </w:r>
      <w:r w:rsidRPr="00940966">
        <w:t>H</w:t>
      </w:r>
      <w:r>
        <w:t>elp normalise engagement across research fields where it is less embedded and be curious about other peoples’ practices, and what you can learn.</w:t>
      </w:r>
    </w:p>
    <w:p w14:paraId="142385A4" w14:textId="77777777" w:rsidR="00B34C61" w:rsidRDefault="00B34C61" w:rsidP="00FA7C41">
      <w:pPr>
        <w:pStyle w:val="Heading3"/>
      </w:pPr>
      <w:bookmarkStart w:id="9" w:name="_Toc243476458"/>
      <w:r w:rsidRPr="00B34C61">
        <w:lastRenderedPageBreak/>
        <w:t>For Government and Policymakers</w:t>
      </w:r>
      <w:bookmarkEnd w:id="9"/>
    </w:p>
    <w:p w14:paraId="31CA9E59" w14:textId="77777777" w:rsidR="00B34C61" w:rsidRDefault="00B34C61" w:rsidP="00B34C61">
      <w:pPr>
        <w:spacing w:after="100" w:line="268" w:lineRule="auto"/>
      </w:pPr>
      <w:r w:rsidRPr="00B34C61">
        <w:rPr>
          <w:i/>
          <w:iCs/>
          <w:color w:val="595959"/>
        </w:rPr>
        <w:t>To recognise and protect the whole system that generates public value:</w:t>
      </w:r>
    </w:p>
    <w:p w14:paraId="3643C74E" w14:textId="18C23F8F" w:rsidR="007E166E" w:rsidRPr="007E166E" w:rsidRDefault="28F04D3D" w:rsidP="56133BFF">
      <w:pPr>
        <w:pStyle w:val="ListParagraph"/>
        <w:numPr>
          <w:ilvl w:val="0"/>
          <w:numId w:val="20"/>
        </w:numPr>
        <w:spacing w:after="0" w:line="268" w:lineRule="auto"/>
      </w:pPr>
      <w:r w:rsidRPr="56133BFF">
        <w:rPr>
          <w:b/>
          <w:bCs/>
        </w:rPr>
        <w:t>Align expectations across government.</w:t>
      </w:r>
      <w:r>
        <w:t xml:space="preserve"> </w:t>
      </w:r>
      <w:r w:rsidR="3CAD8D61">
        <w:t>Ensure relevant departments align policy, funding and accountability frameworks so that engagement and civic contribution are consistently recognised and reinforced.</w:t>
      </w:r>
    </w:p>
    <w:p w14:paraId="2774B640" w14:textId="7F01B831" w:rsidR="00155CAE" w:rsidRPr="00155CAE" w:rsidRDefault="415A787A" w:rsidP="56133BFF">
      <w:pPr>
        <w:numPr>
          <w:ilvl w:val="0"/>
          <w:numId w:val="20"/>
        </w:numPr>
        <w:spacing w:after="0" w:line="268" w:lineRule="auto"/>
      </w:pPr>
      <w:r w:rsidRPr="56133BFF">
        <w:rPr>
          <w:b/>
          <w:bCs/>
        </w:rPr>
        <w:t xml:space="preserve">Invest in </w:t>
      </w:r>
      <w:r w:rsidR="28F04D3D" w:rsidRPr="56133BFF">
        <w:rPr>
          <w:b/>
          <w:bCs/>
        </w:rPr>
        <w:t>the system that generates public value.</w:t>
      </w:r>
      <w:r w:rsidR="28F04D3D">
        <w:t xml:space="preserve"> Recognise engagement as essential infrastructure</w:t>
      </w:r>
      <w:r w:rsidR="6D37DF6B">
        <w:t xml:space="preserve">, </w:t>
      </w:r>
      <w:r w:rsidR="37E4262E">
        <w:t xml:space="preserve">including its role in strengthening public trust in research and universities, </w:t>
      </w:r>
      <w:r w:rsidR="28F04D3D">
        <w:t>and reflect this in funding settlements and policy design.</w:t>
      </w:r>
    </w:p>
    <w:p w14:paraId="2CFB307E" w14:textId="6A1A1D21" w:rsidR="00844F36" w:rsidRPr="00844F36" w:rsidRDefault="0970CBB7" w:rsidP="00844F36">
      <w:pPr>
        <w:pStyle w:val="ListParagraph"/>
        <w:numPr>
          <w:ilvl w:val="0"/>
          <w:numId w:val="20"/>
        </w:numPr>
        <w:spacing w:after="0" w:line="300" w:lineRule="atLeast"/>
        <w:rPr>
          <w:rFonts w:ascii="Segoe UI" w:eastAsia="Times New Roman" w:hAnsi="Segoe UI" w:cs="Segoe UI"/>
          <w:kern w:val="0"/>
          <w:sz w:val="21"/>
          <w:szCs w:val="21"/>
          <w:lang w:eastAsia="en-GB"/>
          <w14:ligatures w14:val="none"/>
        </w:rPr>
      </w:pPr>
      <w:r w:rsidRPr="00844F36">
        <w:rPr>
          <w:rFonts w:ascii="Segoe UI" w:eastAsia="Times New Roman" w:hAnsi="Segoe UI" w:cs="Segoe UI"/>
          <w:b/>
          <w:bCs/>
          <w:kern w:val="0"/>
          <w:sz w:val="21"/>
          <w:szCs w:val="21"/>
          <w:lang w:eastAsia="en-GB"/>
          <w14:ligatures w14:val="none"/>
        </w:rPr>
        <w:t>Enable universities to deliver on civic and public missions.</w:t>
      </w:r>
      <w:r w:rsidRPr="00844F36">
        <w:rPr>
          <w:rFonts w:ascii="Segoe UI" w:eastAsia="Times New Roman" w:hAnsi="Segoe UI" w:cs="Segoe UI"/>
          <w:kern w:val="0"/>
          <w:sz w:val="21"/>
          <w:szCs w:val="21"/>
          <w:lang w:eastAsia="en-GB"/>
          <w14:ligatures w14:val="none"/>
        </w:rPr>
        <w:t xml:space="preserve"> Ensure that expectations around place, </w:t>
      </w:r>
      <w:r w:rsidRPr="56133BFF">
        <w:rPr>
          <w:rFonts w:ascii="Segoe UI" w:eastAsia="Times New Roman" w:hAnsi="Segoe UI" w:cs="Segoe UI"/>
          <w:sz w:val="21"/>
          <w:szCs w:val="21"/>
          <w:lang w:eastAsia="en-GB"/>
        </w:rPr>
        <w:t>participation and impact (e.g. in DfE policy) are supported by resourcing and incentives through long-term research and innovation funding (e.g. via D</w:t>
      </w:r>
      <w:r w:rsidR="05022391">
        <w:rPr>
          <w:rFonts w:ascii="Segoe UI" w:eastAsia="Times New Roman" w:hAnsi="Segoe UI" w:cs="Segoe UI"/>
          <w:kern w:val="0"/>
          <w:sz w:val="21"/>
          <w:szCs w:val="21"/>
          <w:lang w:eastAsia="en-GB"/>
          <w14:ligatures w14:val="none"/>
        </w:rPr>
        <w:t>BIST</w:t>
      </w:r>
      <w:r w:rsidRPr="00844F36" w:rsidDel="00D50749">
        <w:rPr>
          <w:rFonts w:ascii="Segoe UI" w:eastAsia="Times New Roman" w:hAnsi="Segoe UI" w:cs="Segoe UI"/>
          <w:kern w:val="0"/>
          <w:sz w:val="21"/>
          <w:szCs w:val="21"/>
          <w:lang w:eastAsia="en-GB"/>
          <w14:ligatures w14:val="none"/>
        </w:rPr>
        <w:t>)</w:t>
      </w:r>
      <w:r w:rsidR="7CDFE8D8" w:rsidRPr="56133BFF">
        <w:rPr>
          <w:rFonts w:ascii="Segoe UI" w:eastAsia="Times New Roman" w:hAnsi="Segoe UI" w:cs="Segoe UI"/>
          <w:sz w:val="21"/>
          <w:szCs w:val="21"/>
          <w:lang w:eastAsia="en-GB"/>
        </w:rPr>
        <w:t>.</w:t>
      </w:r>
      <w:r w:rsidRPr="56133BFF">
        <w:rPr>
          <w:rFonts w:ascii="Segoe UI" w:eastAsia="Times New Roman" w:hAnsi="Segoe UI" w:cs="Segoe UI"/>
          <w:sz w:val="21"/>
          <w:szCs w:val="21"/>
          <w:lang w:eastAsia="en-GB"/>
        </w:rPr>
        <w:t xml:space="preserve"> </w:t>
      </w:r>
      <w:r w:rsidR="7CDFE8D8" w:rsidRPr="56133BFF">
        <w:rPr>
          <w:rFonts w:ascii="Segoe UI" w:eastAsia="Times New Roman" w:hAnsi="Segoe UI" w:cs="Segoe UI"/>
          <w:sz w:val="21"/>
          <w:szCs w:val="21"/>
          <w:lang w:eastAsia="en-GB"/>
        </w:rPr>
        <w:t>S</w:t>
      </w:r>
      <w:r w:rsidRPr="56133BFF">
        <w:rPr>
          <w:rFonts w:ascii="Segoe UI" w:eastAsia="Times New Roman" w:hAnsi="Segoe UI" w:cs="Segoe UI"/>
          <w:sz w:val="21"/>
          <w:szCs w:val="21"/>
          <w:lang w:eastAsia="en-GB"/>
        </w:rPr>
        <w:t>trengthen and extend the role of universities as partners in achieving inclusive and place-based growth, increasing opportunities and long-term funding for universities, communities, businesses and local government to work together on shared regional priorities.</w:t>
      </w:r>
    </w:p>
    <w:p w14:paraId="1DD00114" w14:textId="136D3AA3" w:rsidR="00155CAE" w:rsidRDefault="28F04D3D" w:rsidP="56133BFF">
      <w:pPr>
        <w:numPr>
          <w:ilvl w:val="0"/>
          <w:numId w:val="20"/>
        </w:numPr>
        <w:spacing w:after="100" w:line="268" w:lineRule="auto"/>
      </w:pPr>
      <w:r w:rsidRPr="56133BFF">
        <w:rPr>
          <w:b/>
          <w:bCs/>
        </w:rPr>
        <w:t>Mobilise cross-government demand for research.</w:t>
      </w:r>
      <w:r>
        <w:t xml:space="preserve"> Encourage departments to work more systematically with universities and communities to co-produce solutions to public challenges—strengthening relevance, visibility</w:t>
      </w:r>
      <w:r w:rsidR="1C3B30BA">
        <w:t xml:space="preserve">, trust </w:t>
      </w:r>
      <w:r>
        <w:t>and public value.</w:t>
      </w:r>
    </w:p>
    <w:p w14:paraId="65242080" w14:textId="77777777" w:rsidR="00EC1181" w:rsidRPr="00FC4486" w:rsidRDefault="00EC1181" w:rsidP="00EC1181">
      <w:pPr>
        <w:spacing w:after="100" w:line="268" w:lineRule="auto"/>
        <w:ind w:left="360"/>
      </w:pPr>
    </w:p>
    <w:p w14:paraId="2D3FF3E4" w14:textId="05EBDBA4" w:rsidR="00EC1181" w:rsidRPr="00EC1181" w:rsidRDefault="000B2F75" w:rsidP="00EC1181">
      <w:pPr>
        <w:pStyle w:val="Heading3"/>
      </w:pPr>
      <w:bookmarkStart w:id="10" w:name="_Toc243476459"/>
      <w:r>
        <w:t xml:space="preserve">The NCCPE — our </w:t>
      </w:r>
      <w:r w:rsidR="00254D5B">
        <w:t>role in strengthening the system</w:t>
      </w:r>
      <w:bookmarkEnd w:id="10"/>
    </w:p>
    <w:p w14:paraId="01C6ECE2" w14:textId="45FD7C08" w:rsidR="00254D5B" w:rsidRPr="00926114" w:rsidRDefault="0F1853DA" w:rsidP="56133BFF">
      <w:pPr>
        <w:spacing w:after="100" w:line="268" w:lineRule="auto"/>
        <w:rPr>
          <w:i/>
          <w:iCs/>
          <w:color w:val="595959" w:themeColor="text1" w:themeTint="A6"/>
        </w:rPr>
      </w:pPr>
      <w:r w:rsidRPr="00EC1181">
        <w:rPr>
          <w:rFonts w:eastAsiaTheme="minorEastAsia"/>
          <w:i/>
          <w:iCs/>
          <w:color w:val="595959" w:themeColor="text1" w:themeTint="A6"/>
        </w:rPr>
        <w:t>Th</w:t>
      </w:r>
      <w:r w:rsidR="2962C31D" w:rsidRPr="00EC1181">
        <w:rPr>
          <w:rFonts w:eastAsiaTheme="minorEastAsia"/>
          <w:i/>
          <w:iCs/>
          <w:color w:val="595959" w:themeColor="text1" w:themeTint="A6"/>
        </w:rPr>
        <w:t xml:space="preserve">rough </w:t>
      </w:r>
      <w:hyperlink r:id="rId16" w:history="1">
        <w:r w:rsidR="2962C31D" w:rsidRPr="00EC1181">
          <w:rPr>
            <w:rStyle w:val="Hyperlink"/>
            <w:rFonts w:eastAsiaTheme="minorEastAsia"/>
            <w:i/>
            <w:iCs/>
            <w:color w:val="00A8AB"/>
          </w:rPr>
          <w:t>Engaged Futures</w:t>
        </w:r>
      </w:hyperlink>
      <w:r w:rsidR="2962C31D" w:rsidRPr="00EC1181">
        <w:rPr>
          <w:rFonts w:eastAsiaTheme="minorEastAsia"/>
          <w:i/>
          <w:iCs/>
          <w:color w:val="595959" w:themeColor="text1" w:themeTint="A6"/>
        </w:rPr>
        <w:t>, the</w:t>
      </w:r>
      <w:r w:rsidRPr="56133BFF">
        <w:rPr>
          <w:rFonts w:eastAsiaTheme="minorEastAsia"/>
          <w:i/>
          <w:iCs/>
          <w:color w:val="595959" w:themeColor="text1" w:themeTint="A6"/>
        </w:rPr>
        <w:t xml:space="preserve"> NCCPE will work to strengthen alignment, connection and shared purpose across the system</w:t>
      </w:r>
      <w:r w:rsidR="59F35432" w:rsidRPr="56133BFF">
        <w:rPr>
          <w:rFonts w:eastAsiaTheme="minorEastAsia"/>
          <w:i/>
          <w:iCs/>
          <w:color w:val="595959" w:themeColor="text1" w:themeTint="A6"/>
        </w:rPr>
        <w:t xml:space="preserve">, </w:t>
      </w:r>
      <w:r w:rsidRPr="56133BFF">
        <w:rPr>
          <w:rFonts w:eastAsiaTheme="minorEastAsia"/>
          <w:i/>
          <w:iCs/>
          <w:color w:val="595959" w:themeColor="text1" w:themeTint="A6"/>
        </w:rPr>
        <w:t>ensuring that the value of engagement is recognised, supported and sustained in practice as well as in principle. We will:</w:t>
      </w:r>
    </w:p>
    <w:p w14:paraId="17314019" w14:textId="5D7D89B9" w:rsidR="00254D5B" w:rsidRDefault="00254D5B" w:rsidP="00254D5B">
      <w:pPr>
        <w:numPr>
          <w:ilvl w:val="0"/>
          <w:numId w:val="17"/>
        </w:numPr>
        <w:spacing w:after="100" w:line="268" w:lineRule="auto"/>
      </w:pPr>
      <w:r w:rsidRPr="00254D5B">
        <w:rPr>
          <w:b/>
          <w:bCs/>
        </w:rPr>
        <w:t>Connect and align action across the sector.</w:t>
      </w:r>
      <w:r w:rsidRPr="00254D5B">
        <w:t xml:space="preserve"> Convene funders, policymakers, institutions and practitioners to build shared understanding and coordinated approaches to strengthening engagement</w:t>
      </w:r>
      <w:r w:rsidR="001875D2">
        <w:t xml:space="preserve"> and building public value.</w:t>
      </w:r>
    </w:p>
    <w:p w14:paraId="5774C211" w14:textId="77777777" w:rsidR="00254D5B" w:rsidRPr="00254D5B" w:rsidRDefault="00254D5B" w:rsidP="00254D5B">
      <w:pPr>
        <w:numPr>
          <w:ilvl w:val="0"/>
          <w:numId w:val="17"/>
        </w:numPr>
        <w:spacing w:after="100" w:line="268" w:lineRule="auto"/>
      </w:pPr>
      <w:r w:rsidRPr="00254D5B">
        <w:rPr>
          <w:b/>
          <w:bCs/>
        </w:rPr>
        <w:t>Translate insight into practice.</w:t>
      </w:r>
      <w:r w:rsidRPr="00254D5B">
        <w:t xml:space="preserve"> Turn evidence from the </w:t>
      </w:r>
      <w:r w:rsidRPr="00254D5B">
        <w:rPr>
          <w:i/>
          <w:iCs/>
        </w:rPr>
        <w:t>State of the Sector</w:t>
      </w:r>
      <w:r w:rsidRPr="00254D5B">
        <w:t xml:space="preserve"> and </w:t>
      </w:r>
      <w:r w:rsidRPr="00254D5B">
        <w:rPr>
          <w:i/>
          <w:iCs/>
        </w:rPr>
        <w:t>Engaged Futures</w:t>
      </w:r>
      <w:r w:rsidRPr="00254D5B">
        <w:t xml:space="preserve"> into practical guidance, tools and examples that support implementation.</w:t>
      </w:r>
    </w:p>
    <w:p w14:paraId="3545EEDA" w14:textId="77777777" w:rsidR="00254D5B" w:rsidRPr="00254D5B" w:rsidRDefault="00254D5B" w:rsidP="00254D5B">
      <w:pPr>
        <w:numPr>
          <w:ilvl w:val="0"/>
          <w:numId w:val="17"/>
        </w:numPr>
        <w:spacing w:after="100" w:line="268" w:lineRule="auto"/>
      </w:pPr>
      <w:r w:rsidRPr="00254D5B">
        <w:rPr>
          <w:b/>
          <w:bCs/>
        </w:rPr>
        <w:t>Make engagement capacity visible and valued.</w:t>
      </w:r>
      <w:r w:rsidRPr="00254D5B">
        <w:t xml:space="preserve"> Develop clearer language and evidence to support recognition of the people, partnerships and expertise that underpin effective engagement.</w:t>
      </w:r>
    </w:p>
    <w:p w14:paraId="3D980C21" w14:textId="0F8F3199" w:rsidR="001875D2" w:rsidRPr="001875D2" w:rsidRDefault="001875D2" w:rsidP="00254D5B">
      <w:pPr>
        <w:numPr>
          <w:ilvl w:val="0"/>
          <w:numId w:val="17"/>
        </w:numPr>
        <w:spacing w:after="100" w:line="268" w:lineRule="auto"/>
      </w:pPr>
      <w:r w:rsidRPr="001875D2">
        <w:rPr>
          <w:b/>
          <w:bCs/>
        </w:rPr>
        <w:t xml:space="preserve">Reframe the national narrative on engagement. </w:t>
      </w:r>
      <w:r>
        <w:t xml:space="preserve">Publish a curated, high-profile series of evidence-led stories that demonstrate the public value realised through engagement. </w:t>
      </w:r>
    </w:p>
    <w:p w14:paraId="6BC1D7D4" w14:textId="17D13554" w:rsidR="001875D2" w:rsidRDefault="00254D5B" w:rsidP="001875D2">
      <w:pPr>
        <w:numPr>
          <w:ilvl w:val="0"/>
          <w:numId w:val="17"/>
        </w:numPr>
        <w:spacing w:after="100" w:line="268" w:lineRule="auto"/>
      </w:pPr>
      <w:r w:rsidRPr="00780E49">
        <w:rPr>
          <w:b/>
          <w:bCs/>
        </w:rPr>
        <w:t>Champion long-term, relational approaches.</w:t>
      </w:r>
      <w:r w:rsidRPr="00254D5B">
        <w:t xml:space="preserve"> Work with partners to shift expectations away from short-term, transactional models towards sustained, meaningful relationships.</w:t>
      </w:r>
    </w:p>
    <w:p w14:paraId="34C67B9A" w14:textId="77777777" w:rsidR="00FA7C41" w:rsidRPr="00254D5B" w:rsidRDefault="00FA7C41" w:rsidP="00FA7C41">
      <w:pPr>
        <w:spacing w:after="100" w:line="268" w:lineRule="auto"/>
        <w:ind w:left="360"/>
      </w:pPr>
    </w:p>
    <w:p w14:paraId="05F6E476" w14:textId="7DB1B020" w:rsidR="00254D5B" w:rsidRDefault="000B32B2" w:rsidP="00FA7C41">
      <w:pPr>
        <w:pStyle w:val="Heading2"/>
      </w:pPr>
      <w:bookmarkStart w:id="11" w:name="_Toc243476460"/>
      <w:r w:rsidRPr="000B32B2">
        <w:t xml:space="preserve">What’s </w:t>
      </w:r>
      <w:r w:rsidRPr="00FA7C41">
        <w:t>next</w:t>
      </w:r>
      <w:bookmarkEnd w:id="11"/>
    </w:p>
    <w:p w14:paraId="312D89B4" w14:textId="6DD8733E" w:rsidR="00253371" w:rsidRDefault="3C811CAC" w:rsidP="00253371">
      <w:pPr>
        <w:spacing w:after="0" w:line="300" w:lineRule="atLeast"/>
      </w:pPr>
      <w:r w:rsidRPr="56133BFF">
        <w:rPr>
          <w:rFonts w:eastAsiaTheme="minorEastAsia"/>
        </w:rPr>
        <w:t>These collective actions are intended as practical priorities to guide immediate and longer-term decisions across the system.</w:t>
      </w:r>
      <w:r w:rsidR="2962C31D" w:rsidRPr="56133BFF">
        <w:rPr>
          <w:rFonts w:eastAsiaTheme="minorEastAsia"/>
        </w:rPr>
        <w:t xml:space="preserve"> Given no actor in the system can effect systemic change alone, now is a time to align to effect the changes we hope for. </w:t>
      </w:r>
    </w:p>
    <w:p w14:paraId="7960DF9A" w14:textId="77777777" w:rsidR="008556FF" w:rsidRDefault="008556FF" w:rsidP="00253371">
      <w:pPr>
        <w:spacing w:after="0" w:line="300" w:lineRule="atLeast"/>
      </w:pPr>
    </w:p>
    <w:p w14:paraId="4FD1A85A" w14:textId="0422D1D1" w:rsidR="00811826" w:rsidDel="007E166E" w:rsidRDefault="3CAD8D61" w:rsidP="00811826">
      <w:pPr>
        <w:spacing w:after="0" w:line="300" w:lineRule="atLeast"/>
      </w:pPr>
      <w:r w:rsidRPr="56133BFF">
        <w:rPr>
          <w:rFonts w:eastAsiaTheme="minorEastAsia"/>
        </w:rPr>
        <w:lastRenderedPageBreak/>
        <w:t xml:space="preserve">We invite everyone involved in this work to consider what action they can take within their own role and organisation. We also invite you to join the </w:t>
      </w:r>
      <w:hyperlink r:id="rId17" w:history="1">
        <w:r w:rsidRPr="008F7BE4">
          <w:rPr>
            <w:rStyle w:val="Hyperlink"/>
            <w:rFonts w:eastAsiaTheme="minorEastAsia"/>
            <w:i/>
            <w:iCs/>
            <w:color w:val="00A8AB"/>
          </w:rPr>
          <w:t>Engaged Futures</w:t>
        </w:r>
      </w:hyperlink>
      <w:r w:rsidRPr="56133BFF">
        <w:rPr>
          <w:rFonts w:eastAsiaTheme="minorEastAsia"/>
        </w:rPr>
        <w:t xml:space="preserve"> movement: a coalition committed to a higher education secto</w:t>
      </w:r>
      <w:r w:rsidRPr="56133BFF" w:rsidDel="007E166E">
        <w:rPr>
          <w:rFonts w:eastAsiaTheme="minorEastAsia"/>
        </w:rPr>
        <w:t>r that is meaningfully and equitably engaged with society. By acting together, we can protect, adapt and strengthen the relational infrastructure on which the sector and its partners depend.</w:t>
      </w:r>
    </w:p>
    <w:p w14:paraId="27BFAF17" w14:textId="77777777" w:rsidR="008556FF" w:rsidRDefault="008556FF" w:rsidP="00811826">
      <w:pPr>
        <w:spacing w:after="0" w:line="300" w:lineRule="atLeast"/>
        <w:rPr>
          <w:rFonts w:eastAsia="Times New Roman" w:cs="Segoe UI"/>
          <w:kern w:val="0"/>
          <w:sz w:val="21"/>
          <w:szCs w:val="21"/>
          <w:lang w:eastAsia="en-GB"/>
          <w14:ligatures w14:val="none"/>
        </w:rPr>
      </w:pPr>
    </w:p>
    <w:p w14:paraId="0F9B4C4B" w14:textId="1670A86D" w:rsidR="00253371" w:rsidRDefault="00253371" w:rsidP="00253371">
      <w:pPr>
        <w:spacing w:after="0" w:line="300" w:lineRule="atLeast"/>
        <w:rPr>
          <w:rFonts w:eastAsia="Times New Roman" w:cs="Segoe UI"/>
          <w:kern w:val="0"/>
          <w:sz w:val="21"/>
          <w:szCs w:val="21"/>
          <w:lang w:eastAsia="en-GB"/>
          <w14:ligatures w14:val="none"/>
        </w:rPr>
      </w:pPr>
    </w:p>
    <w:p w14:paraId="7423D875" w14:textId="5C85AF19" w:rsidR="00253371" w:rsidRDefault="00253371" w:rsidP="00253371">
      <w:pPr>
        <w:spacing w:after="0" w:line="300" w:lineRule="atLeast"/>
        <w:rPr>
          <w:rFonts w:eastAsia="Times New Roman" w:cs="Segoe UI"/>
          <w:kern w:val="0"/>
          <w:sz w:val="21"/>
          <w:szCs w:val="21"/>
          <w:lang w:eastAsia="en-GB"/>
          <w14:ligatures w14:val="none"/>
        </w:rPr>
      </w:pPr>
      <w:r>
        <w:rPr>
          <w:rFonts w:eastAsia="Times New Roman" w:cs="Segoe UI"/>
          <w:kern w:val="0"/>
          <w:sz w:val="21"/>
          <w:szCs w:val="21"/>
          <w:lang w:eastAsia="en-GB"/>
          <w14:ligatures w14:val="none"/>
        </w:rPr>
        <w:t xml:space="preserve"> </w:t>
      </w:r>
    </w:p>
    <w:p w14:paraId="04D44E52" w14:textId="0875FB12" w:rsidR="000B32B2" w:rsidRPr="00FD11AB" w:rsidRDefault="00253371" w:rsidP="00253371">
      <w:pPr>
        <w:spacing w:after="0" w:line="300" w:lineRule="atLeast"/>
        <w:rPr>
          <w:rFonts w:eastAsia="Times New Roman" w:cs="Segoe UI"/>
          <w:kern w:val="0"/>
          <w:sz w:val="21"/>
          <w:szCs w:val="21"/>
          <w:lang w:eastAsia="en-GB"/>
          <w14:ligatures w14:val="none"/>
        </w:rPr>
      </w:pPr>
      <w:r>
        <w:rPr>
          <w:rFonts w:eastAsia="Times New Roman" w:cs="Segoe UI"/>
          <w:kern w:val="0"/>
          <w:sz w:val="21"/>
          <w:szCs w:val="21"/>
          <w:lang w:eastAsia="en-GB"/>
          <w14:ligatures w14:val="none"/>
        </w:rPr>
        <w:t xml:space="preserve"> </w:t>
      </w:r>
    </w:p>
    <w:p w14:paraId="42279D8F" w14:textId="77777777" w:rsidR="000B32B2" w:rsidRPr="000B32B2" w:rsidRDefault="000B32B2" w:rsidP="00C5024C">
      <w:pPr>
        <w:spacing w:after="100" w:line="268" w:lineRule="auto"/>
        <w:ind w:left="260"/>
        <w:rPr>
          <w:b/>
          <w:bCs/>
        </w:rPr>
      </w:pPr>
    </w:p>
    <w:sectPr w:rsidR="000B32B2" w:rsidRPr="000B32B2" w:rsidSect="00FC265A">
      <w:headerReference w:type="default" r:id="rId18"/>
      <w:footerReference w:type="default" r:id="rId19"/>
      <w:type w:val="continuous"/>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02612" w14:textId="77777777" w:rsidR="006A01CE" w:rsidRDefault="006A01CE" w:rsidP="00253371">
      <w:pPr>
        <w:spacing w:after="0" w:line="240" w:lineRule="auto"/>
      </w:pPr>
      <w:r>
        <w:separator/>
      </w:r>
    </w:p>
  </w:endnote>
  <w:endnote w:type="continuationSeparator" w:id="0">
    <w:p w14:paraId="21329904" w14:textId="77777777" w:rsidR="006A01CE" w:rsidRDefault="006A01CE" w:rsidP="00253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6AB38" w14:textId="17044571" w:rsidR="001A22D3" w:rsidRDefault="001A22D3">
    <w:pPr>
      <w:pStyle w:val="Footer"/>
      <w:jc w:val="right"/>
    </w:pPr>
  </w:p>
  <w:p w14:paraId="706608E8" w14:textId="77777777" w:rsidR="00D92EA8" w:rsidRDefault="00D92E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6644831"/>
      <w:docPartObj>
        <w:docPartGallery w:val="Page Numbers (Bottom of Page)"/>
        <w:docPartUnique/>
      </w:docPartObj>
    </w:sdtPr>
    <w:sdtEndPr/>
    <w:sdtContent>
      <w:p w14:paraId="0F0A3B92" w14:textId="6E37F9E5" w:rsidR="00FC265A" w:rsidRDefault="00FC265A">
        <w:pPr>
          <w:pStyle w:val="Footer"/>
          <w:jc w:val="right"/>
        </w:pPr>
        <w:r>
          <w:fldChar w:fldCharType="begin"/>
        </w:r>
        <w:r>
          <w:instrText>PAGE   \* MERGEFORMAT</w:instrText>
        </w:r>
        <w:r>
          <w:fldChar w:fldCharType="separate"/>
        </w:r>
        <w:r>
          <w:t>2</w:t>
        </w:r>
        <w:r>
          <w:fldChar w:fldCharType="end"/>
        </w:r>
      </w:p>
    </w:sdtContent>
  </w:sdt>
  <w:p w14:paraId="65415A0E" w14:textId="77777777" w:rsidR="00C75653" w:rsidRDefault="00C756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D0C30" w14:textId="77777777" w:rsidR="006A01CE" w:rsidRDefault="006A01CE" w:rsidP="00253371">
      <w:pPr>
        <w:spacing w:after="0" w:line="240" w:lineRule="auto"/>
      </w:pPr>
      <w:r>
        <w:separator/>
      </w:r>
    </w:p>
  </w:footnote>
  <w:footnote w:type="continuationSeparator" w:id="0">
    <w:p w14:paraId="75C0EE49" w14:textId="77777777" w:rsidR="006A01CE" w:rsidRDefault="006A01CE" w:rsidP="00253371">
      <w:pPr>
        <w:spacing w:after="0" w:line="240" w:lineRule="auto"/>
      </w:pPr>
      <w:r>
        <w:continuationSeparator/>
      </w:r>
    </w:p>
  </w:footnote>
  <w:footnote w:id="1">
    <w:p w14:paraId="061CC265" w14:textId="77777777" w:rsidR="00F86C08" w:rsidRPr="00253371" w:rsidRDefault="00F86C08" w:rsidP="00F86C08">
      <w:pPr>
        <w:pStyle w:val="FootnoteText"/>
      </w:pPr>
      <w:r>
        <w:rPr>
          <w:rStyle w:val="FootnoteReference"/>
        </w:rPr>
        <w:footnoteRef/>
      </w:r>
      <w:r w:rsidR="2CC0CFA2">
        <w:t xml:space="preserve"> </w:t>
      </w:r>
      <w:r w:rsidR="2CC0CFA2" w:rsidRPr="00253371">
        <w:t xml:space="preserve">Public Attitudes to R&amp;D 2025, </w:t>
      </w:r>
      <w:proofErr w:type="spellStart"/>
      <w:r w:rsidR="2CC0CFA2" w:rsidRPr="00253371">
        <w:t>CaSE</w:t>
      </w:r>
      <w:proofErr w:type="spellEnd"/>
      <w:r w:rsidR="2CC0CFA2" w:rsidRPr="00253371">
        <w:t xml:space="preserve">, November 2025. </w:t>
      </w:r>
    </w:p>
    <w:p w14:paraId="185A4575" w14:textId="77777777" w:rsidR="00F86C08" w:rsidRPr="00253371" w:rsidRDefault="2CC0CFA2" w:rsidP="00F86C08">
      <w:pPr>
        <w:pStyle w:val="FootnoteText"/>
      </w:pPr>
      <w:r>
        <w:t>(Less than a third could immediately think of lots of ways R&amp;D benefits the UK (29%) or their region (22%), falling to just 18% when asked about their local area or them and their family. (p.20)</w:t>
      </w:r>
    </w:p>
    <w:p w14:paraId="5A2745C9" w14:textId="77777777" w:rsidR="00F86C08" w:rsidRDefault="00F86C08" w:rsidP="00F86C08">
      <w:pPr>
        <w:pStyle w:val="FootnoteText"/>
      </w:pPr>
    </w:p>
  </w:footnote>
  <w:footnote w:id="2">
    <w:p w14:paraId="2FAD1746" w14:textId="77777777" w:rsidR="00F86C08" w:rsidRDefault="00F86C08" w:rsidP="00F86C08">
      <w:pPr>
        <w:pStyle w:val="FootnoteText"/>
      </w:pPr>
      <w:r>
        <w:rPr>
          <w:rStyle w:val="FootnoteReference"/>
        </w:rPr>
        <w:footnoteRef/>
      </w:r>
      <w:r w:rsidR="2CC0CFA2">
        <w:t xml:space="preserve"> </w:t>
      </w:r>
      <w:r w:rsidR="2CC0CFA2" w:rsidRPr="00253371">
        <w:t>British Social Attitudes 43: Higher Education. National Centre for Social Research, June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86C14" w14:textId="77777777" w:rsidR="00FC265A" w:rsidRDefault="00FC26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F538D"/>
    <w:multiLevelType w:val="multilevel"/>
    <w:tmpl w:val="14BE4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47E6F"/>
    <w:multiLevelType w:val="hybridMultilevel"/>
    <w:tmpl w:val="990249EA"/>
    <w:lvl w:ilvl="0" w:tplc="66009960">
      <w:start w:val="1"/>
      <w:numFmt w:val="bullet"/>
      <w:lvlText w:val="•"/>
      <w:lvlJc w:val="left"/>
      <w:pPr>
        <w:ind w:left="800" w:hanging="280"/>
      </w:pPr>
    </w:lvl>
    <w:lvl w:ilvl="1" w:tplc="08090003" w:tentative="1">
      <w:start w:val="1"/>
      <w:numFmt w:val="bullet"/>
      <w:lvlText w:val="o"/>
      <w:lvlJc w:val="left"/>
      <w:pPr>
        <w:ind w:left="1700" w:hanging="360"/>
      </w:pPr>
      <w:rPr>
        <w:rFonts w:ascii="Courier New" w:hAnsi="Courier New" w:cs="Courier New" w:hint="default"/>
      </w:rPr>
    </w:lvl>
    <w:lvl w:ilvl="2" w:tplc="08090005" w:tentative="1">
      <w:start w:val="1"/>
      <w:numFmt w:val="bullet"/>
      <w:lvlText w:val=""/>
      <w:lvlJc w:val="left"/>
      <w:pPr>
        <w:ind w:left="2420" w:hanging="360"/>
      </w:pPr>
      <w:rPr>
        <w:rFonts w:ascii="Wingdings" w:hAnsi="Wingdings" w:hint="default"/>
      </w:rPr>
    </w:lvl>
    <w:lvl w:ilvl="3" w:tplc="08090001" w:tentative="1">
      <w:start w:val="1"/>
      <w:numFmt w:val="bullet"/>
      <w:lvlText w:val=""/>
      <w:lvlJc w:val="left"/>
      <w:pPr>
        <w:ind w:left="3140" w:hanging="360"/>
      </w:pPr>
      <w:rPr>
        <w:rFonts w:ascii="Symbol" w:hAnsi="Symbol" w:hint="default"/>
      </w:rPr>
    </w:lvl>
    <w:lvl w:ilvl="4" w:tplc="08090003" w:tentative="1">
      <w:start w:val="1"/>
      <w:numFmt w:val="bullet"/>
      <w:lvlText w:val="o"/>
      <w:lvlJc w:val="left"/>
      <w:pPr>
        <w:ind w:left="3860" w:hanging="360"/>
      </w:pPr>
      <w:rPr>
        <w:rFonts w:ascii="Courier New" w:hAnsi="Courier New" w:cs="Courier New" w:hint="default"/>
      </w:rPr>
    </w:lvl>
    <w:lvl w:ilvl="5" w:tplc="08090005" w:tentative="1">
      <w:start w:val="1"/>
      <w:numFmt w:val="bullet"/>
      <w:lvlText w:val=""/>
      <w:lvlJc w:val="left"/>
      <w:pPr>
        <w:ind w:left="4580" w:hanging="360"/>
      </w:pPr>
      <w:rPr>
        <w:rFonts w:ascii="Wingdings" w:hAnsi="Wingdings" w:hint="default"/>
      </w:rPr>
    </w:lvl>
    <w:lvl w:ilvl="6" w:tplc="08090001" w:tentative="1">
      <w:start w:val="1"/>
      <w:numFmt w:val="bullet"/>
      <w:lvlText w:val=""/>
      <w:lvlJc w:val="left"/>
      <w:pPr>
        <w:ind w:left="5300" w:hanging="360"/>
      </w:pPr>
      <w:rPr>
        <w:rFonts w:ascii="Symbol" w:hAnsi="Symbol" w:hint="default"/>
      </w:rPr>
    </w:lvl>
    <w:lvl w:ilvl="7" w:tplc="08090003" w:tentative="1">
      <w:start w:val="1"/>
      <w:numFmt w:val="bullet"/>
      <w:lvlText w:val="o"/>
      <w:lvlJc w:val="left"/>
      <w:pPr>
        <w:ind w:left="6020" w:hanging="360"/>
      </w:pPr>
      <w:rPr>
        <w:rFonts w:ascii="Courier New" w:hAnsi="Courier New" w:cs="Courier New" w:hint="default"/>
      </w:rPr>
    </w:lvl>
    <w:lvl w:ilvl="8" w:tplc="08090005" w:tentative="1">
      <w:start w:val="1"/>
      <w:numFmt w:val="bullet"/>
      <w:lvlText w:val=""/>
      <w:lvlJc w:val="left"/>
      <w:pPr>
        <w:ind w:left="6740" w:hanging="360"/>
      </w:pPr>
      <w:rPr>
        <w:rFonts w:ascii="Wingdings" w:hAnsi="Wingdings" w:hint="default"/>
      </w:rPr>
    </w:lvl>
  </w:abstractNum>
  <w:abstractNum w:abstractNumId="2" w15:restartNumberingAfterBreak="0">
    <w:nsid w:val="12BC6017"/>
    <w:multiLevelType w:val="hybridMultilevel"/>
    <w:tmpl w:val="24BCA9B0"/>
    <w:lvl w:ilvl="0" w:tplc="66009960">
      <w:start w:val="1"/>
      <w:numFmt w:val="bullet"/>
      <w:lvlText w:val="•"/>
      <w:lvlJc w:val="left"/>
      <w:pPr>
        <w:ind w:left="800" w:hanging="280"/>
      </w:pPr>
    </w:lvl>
    <w:lvl w:ilvl="1" w:tplc="08090003" w:tentative="1">
      <w:start w:val="1"/>
      <w:numFmt w:val="bullet"/>
      <w:lvlText w:val="o"/>
      <w:lvlJc w:val="left"/>
      <w:pPr>
        <w:ind w:left="1700" w:hanging="360"/>
      </w:pPr>
      <w:rPr>
        <w:rFonts w:ascii="Courier New" w:hAnsi="Courier New" w:cs="Courier New" w:hint="default"/>
      </w:rPr>
    </w:lvl>
    <w:lvl w:ilvl="2" w:tplc="08090005" w:tentative="1">
      <w:start w:val="1"/>
      <w:numFmt w:val="bullet"/>
      <w:lvlText w:val=""/>
      <w:lvlJc w:val="left"/>
      <w:pPr>
        <w:ind w:left="2420" w:hanging="360"/>
      </w:pPr>
      <w:rPr>
        <w:rFonts w:ascii="Wingdings" w:hAnsi="Wingdings" w:hint="default"/>
      </w:rPr>
    </w:lvl>
    <w:lvl w:ilvl="3" w:tplc="08090001" w:tentative="1">
      <w:start w:val="1"/>
      <w:numFmt w:val="bullet"/>
      <w:lvlText w:val=""/>
      <w:lvlJc w:val="left"/>
      <w:pPr>
        <w:ind w:left="3140" w:hanging="360"/>
      </w:pPr>
      <w:rPr>
        <w:rFonts w:ascii="Symbol" w:hAnsi="Symbol" w:hint="default"/>
      </w:rPr>
    </w:lvl>
    <w:lvl w:ilvl="4" w:tplc="08090003" w:tentative="1">
      <w:start w:val="1"/>
      <w:numFmt w:val="bullet"/>
      <w:lvlText w:val="o"/>
      <w:lvlJc w:val="left"/>
      <w:pPr>
        <w:ind w:left="3860" w:hanging="360"/>
      </w:pPr>
      <w:rPr>
        <w:rFonts w:ascii="Courier New" w:hAnsi="Courier New" w:cs="Courier New" w:hint="default"/>
      </w:rPr>
    </w:lvl>
    <w:lvl w:ilvl="5" w:tplc="08090005" w:tentative="1">
      <w:start w:val="1"/>
      <w:numFmt w:val="bullet"/>
      <w:lvlText w:val=""/>
      <w:lvlJc w:val="left"/>
      <w:pPr>
        <w:ind w:left="4580" w:hanging="360"/>
      </w:pPr>
      <w:rPr>
        <w:rFonts w:ascii="Wingdings" w:hAnsi="Wingdings" w:hint="default"/>
      </w:rPr>
    </w:lvl>
    <w:lvl w:ilvl="6" w:tplc="08090001" w:tentative="1">
      <w:start w:val="1"/>
      <w:numFmt w:val="bullet"/>
      <w:lvlText w:val=""/>
      <w:lvlJc w:val="left"/>
      <w:pPr>
        <w:ind w:left="5300" w:hanging="360"/>
      </w:pPr>
      <w:rPr>
        <w:rFonts w:ascii="Symbol" w:hAnsi="Symbol" w:hint="default"/>
      </w:rPr>
    </w:lvl>
    <w:lvl w:ilvl="7" w:tplc="08090003" w:tentative="1">
      <w:start w:val="1"/>
      <w:numFmt w:val="bullet"/>
      <w:lvlText w:val="o"/>
      <w:lvlJc w:val="left"/>
      <w:pPr>
        <w:ind w:left="6020" w:hanging="360"/>
      </w:pPr>
      <w:rPr>
        <w:rFonts w:ascii="Courier New" w:hAnsi="Courier New" w:cs="Courier New" w:hint="default"/>
      </w:rPr>
    </w:lvl>
    <w:lvl w:ilvl="8" w:tplc="08090005" w:tentative="1">
      <w:start w:val="1"/>
      <w:numFmt w:val="bullet"/>
      <w:lvlText w:val=""/>
      <w:lvlJc w:val="left"/>
      <w:pPr>
        <w:ind w:left="6740" w:hanging="360"/>
      </w:pPr>
      <w:rPr>
        <w:rFonts w:ascii="Wingdings" w:hAnsi="Wingdings" w:hint="default"/>
      </w:rPr>
    </w:lvl>
  </w:abstractNum>
  <w:abstractNum w:abstractNumId="3" w15:restartNumberingAfterBreak="0">
    <w:nsid w:val="1D1315F4"/>
    <w:multiLevelType w:val="multilevel"/>
    <w:tmpl w:val="E6E2F8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205C1D24"/>
    <w:multiLevelType w:val="hybridMultilevel"/>
    <w:tmpl w:val="3FC27C6C"/>
    <w:lvl w:ilvl="0" w:tplc="B2587D74">
      <w:start w:val="1"/>
      <w:numFmt w:val="bullet"/>
      <w:lvlText w:val="–"/>
      <w:lvlJc w:val="left"/>
      <w:pPr>
        <w:ind w:left="520" w:hanging="260"/>
      </w:pPr>
    </w:lvl>
    <w:lvl w:ilvl="1" w:tplc="591851F0">
      <w:numFmt w:val="decimal"/>
      <w:lvlText w:val=""/>
      <w:lvlJc w:val="left"/>
    </w:lvl>
    <w:lvl w:ilvl="2" w:tplc="C142AED0">
      <w:numFmt w:val="decimal"/>
      <w:lvlText w:val=""/>
      <w:lvlJc w:val="left"/>
    </w:lvl>
    <w:lvl w:ilvl="3" w:tplc="F03E0828">
      <w:numFmt w:val="decimal"/>
      <w:lvlText w:val=""/>
      <w:lvlJc w:val="left"/>
    </w:lvl>
    <w:lvl w:ilvl="4" w:tplc="4782A084">
      <w:numFmt w:val="decimal"/>
      <w:lvlText w:val=""/>
      <w:lvlJc w:val="left"/>
    </w:lvl>
    <w:lvl w:ilvl="5" w:tplc="93EC365E">
      <w:numFmt w:val="decimal"/>
      <w:lvlText w:val=""/>
      <w:lvlJc w:val="left"/>
    </w:lvl>
    <w:lvl w:ilvl="6" w:tplc="31C6C5A0">
      <w:numFmt w:val="decimal"/>
      <w:lvlText w:val=""/>
      <w:lvlJc w:val="left"/>
    </w:lvl>
    <w:lvl w:ilvl="7" w:tplc="16F4D674">
      <w:numFmt w:val="decimal"/>
      <w:lvlText w:val=""/>
      <w:lvlJc w:val="left"/>
    </w:lvl>
    <w:lvl w:ilvl="8" w:tplc="ABFE9D2E">
      <w:numFmt w:val="decimal"/>
      <w:lvlText w:val=""/>
      <w:lvlJc w:val="left"/>
    </w:lvl>
  </w:abstractNum>
  <w:abstractNum w:abstractNumId="5" w15:restartNumberingAfterBreak="0">
    <w:nsid w:val="22530F67"/>
    <w:multiLevelType w:val="multilevel"/>
    <w:tmpl w:val="0E622B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145C62"/>
    <w:multiLevelType w:val="hybridMultilevel"/>
    <w:tmpl w:val="B92C6278"/>
    <w:lvl w:ilvl="0" w:tplc="14B276D8">
      <w:start w:val="1"/>
      <w:numFmt w:val="bullet"/>
      <w:lvlText w:val="•"/>
      <w:lvlJc w:val="left"/>
      <w:pPr>
        <w:ind w:left="460" w:hanging="260"/>
      </w:pPr>
    </w:lvl>
    <w:lvl w:ilvl="1" w:tplc="97DE94CA">
      <w:numFmt w:val="decimal"/>
      <w:lvlText w:val=""/>
      <w:lvlJc w:val="left"/>
    </w:lvl>
    <w:lvl w:ilvl="2" w:tplc="AC444B1A">
      <w:numFmt w:val="decimal"/>
      <w:lvlText w:val=""/>
      <w:lvlJc w:val="left"/>
    </w:lvl>
    <w:lvl w:ilvl="3" w:tplc="77EAC846">
      <w:numFmt w:val="decimal"/>
      <w:lvlText w:val=""/>
      <w:lvlJc w:val="left"/>
    </w:lvl>
    <w:lvl w:ilvl="4" w:tplc="D99254BE">
      <w:numFmt w:val="decimal"/>
      <w:lvlText w:val=""/>
      <w:lvlJc w:val="left"/>
    </w:lvl>
    <w:lvl w:ilvl="5" w:tplc="8B86051A">
      <w:numFmt w:val="decimal"/>
      <w:lvlText w:val=""/>
      <w:lvlJc w:val="left"/>
    </w:lvl>
    <w:lvl w:ilvl="6" w:tplc="1DC0B69A">
      <w:numFmt w:val="decimal"/>
      <w:lvlText w:val=""/>
      <w:lvlJc w:val="left"/>
    </w:lvl>
    <w:lvl w:ilvl="7" w:tplc="AF04C994">
      <w:numFmt w:val="decimal"/>
      <w:lvlText w:val=""/>
      <w:lvlJc w:val="left"/>
    </w:lvl>
    <w:lvl w:ilvl="8" w:tplc="DA4E9400">
      <w:numFmt w:val="decimal"/>
      <w:lvlText w:val=""/>
      <w:lvlJc w:val="left"/>
    </w:lvl>
  </w:abstractNum>
  <w:abstractNum w:abstractNumId="7" w15:restartNumberingAfterBreak="0">
    <w:nsid w:val="26414B0D"/>
    <w:multiLevelType w:val="multilevel"/>
    <w:tmpl w:val="C7FCC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8D039E"/>
    <w:multiLevelType w:val="multilevel"/>
    <w:tmpl w:val="0E622B7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EBB008B"/>
    <w:multiLevelType w:val="hybridMultilevel"/>
    <w:tmpl w:val="91644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FC6225"/>
    <w:multiLevelType w:val="hybridMultilevel"/>
    <w:tmpl w:val="D3A630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1C057CA"/>
    <w:multiLevelType w:val="hybridMultilevel"/>
    <w:tmpl w:val="7792B190"/>
    <w:lvl w:ilvl="0" w:tplc="66009960">
      <w:start w:val="1"/>
      <w:numFmt w:val="bullet"/>
      <w:lvlText w:val="•"/>
      <w:lvlJc w:val="left"/>
      <w:pPr>
        <w:ind w:left="900" w:hanging="280"/>
      </w:p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2522452"/>
    <w:multiLevelType w:val="hybridMultilevel"/>
    <w:tmpl w:val="2FE48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B41FF1"/>
    <w:multiLevelType w:val="hybridMultilevel"/>
    <w:tmpl w:val="3C863686"/>
    <w:lvl w:ilvl="0" w:tplc="66009960">
      <w:start w:val="1"/>
      <w:numFmt w:val="bullet"/>
      <w:lvlText w:val="•"/>
      <w:lvlJc w:val="left"/>
      <w:pPr>
        <w:ind w:left="540" w:hanging="28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A4E07B"/>
    <w:multiLevelType w:val="hybridMultilevel"/>
    <w:tmpl w:val="06985B3C"/>
    <w:lvl w:ilvl="0" w:tplc="75FA6954">
      <w:start w:val="1"/>
      <w:numFmt w:val="bullet"/>
      <w:lvlText w:val=""/>
      <w:lvlJc w:val="left"/>
      <w:pPr>
        <w:ind w:left="720" w:hanging="360"/>
      </w:pPr>
      <w:rPr>
        <w:rFonts w:ascii="Symbol" w:hAnsi="Symbol" w:hint="default"/>
      </w:rPr>
    </w:lvl>
    <w:lvl w:ilvl="1" w:tplc="1AFEE588">
      <w:start w:val="1"/>
      <w:numFmt w:val="bullet"/>
      <w:lvlText w:val="o"/>
      <w:lvlJc w:val="left"/>
      <w:pPr>
        <w:ind w:left="1440" w:hanging="360"/>
      </w:pPr>
      <w:rPr>
        <w:rFonts w:ascii="Courier New" w:hAnsi="Courier New" w:hint="default"/>
      </w:rPr>
    </w:lvl>
    <w:lvl w:ilvl="2" w:tplc="268C1B4E">
      <w:start w:val="1"/>
      <w:numFmt w:val="bullet"/>
      <w:lvlText w:val=""/>
      <w:lvlJc w:val="left"/>
      <w:pPr>
        <w:ind w:left="2160" w:hanging="360"/>
      </w:pPr>
      <w:rPr>
        <w:rFonts w:ascii="Wingdings" w:hAnsi="Wingdings" w:hint="default"/>
      </w:rPr>
    </w:lvl>
    <w:lvl w:ilvl="3" w:tplc="D5A4AF30">
      <w:start w:val="1"/>
      <w:numFmt w:val="bullet"/>
      <w:lvlText w:val=""/>
      <w:lvlJc w:val="left"/>
      <w:pPr>
        <w:ind w:left="2880" w:hanging="360"/>
      </w:pPr>
      <w:rPr>
        <w:rFonts w:ascii="Symbol" w:hAnsi="Symbol" w:hint="default"/>
      </w:rPr>
    </w:lvl>
    <w:lvl w:ilvl="4" w:tplc="6A1AEA04">
      <w:start w:val="1"/>
      <w:numFmt w:val="bullet"/>
      <w:lvlText w:val="o"/>
      <w:lvlJc w:val="left"/>
      <w:pPr>
        <w:ind w:left="3600" w:hanging="360"/>
      </w:pPr>
      <w:rPr>
        <w:rFonts w:ascii="Courier New" w:hAnsi="Courier New" w:hint="default"/>
      </w:rPr>
    </w:lvl>
    <w:lvl w:ilvl="5" w:tplc="52645FF6">
      <w:start w:val="1"/>
      <w:numFmt w:val="bullet"/>
      <w:lvlText w:val=""/>
      <w:lvlJc w:val="left"/>
      <w:pPr>
        <w:ind w:left="4320" w:hanging="360"/>
      </w:pPr>
      <w:rPr>
        <w:rFonts w:ascii="Wingdings" w:hAnsi="Wingdings" w:hint="default"/>
      </w:rPr>
    </w:lvl>
    <w:lvl w:ilvl="6" w:tplc="CEE009EC">
      <w:start w:val="1"/>
      <w:numFmt w:val="bullet"/>
      <w:lvlText w:val=""/>
      <w:lvlJc w:val="left"/>
      <w:pPr>
        <w:ind w:left="5040" w:hanging="360"/>
      </w:pPr>
      <w:rPr>
        <w:rFonts w:ascii="Symbol" w:hAnsi="Symbol" w:hint="default"/>
      </w:rPr>
    </w:lvl>
    <w:lvl w:ilvl="7" w:tplc="F49CA9C8">
      <w:start w:val="1"/>
      <w:numFmt w:val="bullet"/>
      <w:lvlText w:val="o"/>
      <w:lvlJc w:val="left"/>
      <w:pPr>
        <w:ind w:left="5760" w:hanging="360"/>
      </w:pPr>
      <w:rPr>
        <w:rFonts w:ascii="Courier New" w:hAnsi="Courier New" w:hint="default"/>
      </w:rPr>
    </w:lvl>
    <w:lvl w:ilvl="8" w:tplc="D338A2B8">
      <w:start w:val="1"/>
      <w:numFmt w:val="bullet"/>
      <w:lvlText w:val=""/>
      <w:lvlJc w:val="left"/>
      <w:pPr>
        <w:ind w:left="6480" w:hanging="360"/>
      </w:pPr>
      <w:rPr>
        <w:rFonts w:ascii="Wingdings" w:hAnsi="Wingdings" w:hint="default"/>
      </w:rPr>
    </w:lvl>
  </w:abstractNum>
  <w:abstractNum w:abstractNumId="15" w15:restartNumberingAfterBreak="0">
    <w:nsid w:val="400C59EE"/>
    <w:multiLevelType w:val="hybridMultilevel"/>
    <w:tmpl w:val="9CB07A4E"/>
    <w:lvl w:ilvl="0" w:tplc="66009960">
      <w:start w:val="1"/>
      <w:numFmt w:val="bullet"/>
      <w:lvlText w:val="•"/>
      <w:lvlJc w:val="left"/>
      <w:pPr>
        <w:ind w:left="280" w:hanging="280"/>
      </w:pPr>
    </w:lvl>
    <w:lvl w:ilvl="1" w:tplc="08090003" w:tentative="1">
      <w:start w:val="1"/>
      <w:numFmt w:val="bullet"/>
      <w:lvlText w:val="o"/>
      <w:lvlJc w:val="left"/>
      <w:pPr>
        <w:ind w:left="1180" w:hanging="360"/>
      </w:pPr>
      <w:rPr>
        <w:rFonts w:ascii="Courier New" w:hAnsi="Courier New" w:cs="Courier New" w:hint="default"/>
      </w:rPr>
    </w:lvl>
    <w:lvl w:ilvl="2" w:tplc="08090005" w:tentative="1">
      <w:start w:val="1"/>
      <w:numFmt w:val="bullet"/>
      <w:lvlText w:val=""/>
      <w:lvlJc w:val="left"/>
      <w:pPr>
        <w:ind w:left="1900" w:hanging="360"/>
      </w:pPr>
      <w:rPr>
        <w:rFonts w:ascii="Wingdings" w:hAnsi="Wingdings" w:hint="default"/>
      </w:rPr>
    </w:lvl>
    <w:lvl w:ilvl="3" w:tplc="08090001" w:tentative="1">
      <w:start w:val="1"/>
      <w:numFmt w:val="bullet"/>
      <w:lvlText w:val=""/>
      <w:lvlJc w:val="left"/>
      <w:pPr>
        <w:ind w:left="2620" w:hanging="360"/>
      </w:pPr>
      <w:rPr>
        <w:rFonts w:ascii="Symbol" w:hAnsi="Symbol" w:hint="default"/>
      </w:rPr>
    </w:lvl>
    <w:lvl w:ilvl="4" w:tplc="08090003" w:tentative="1">
      <w:start w:val="1"/>
      <w:numFmt w:val="bullet"/>
      <w:lvlText w:val="o"/>
      <w:lvlJc w:val="left"/>
      <w:pPr>
        <w:ind w:left="3340" w:hanging="360"/>
      </w:pPr>
      <w:rPr>
        <w:rFonts w:ascii="Courier New" w:hAnsi="Courier New" w:cs="Courier New" w:hint="default"/>
      </w:rPr>
    </w:lvl>
    <w:lvl w:ilvl="5" w:tplc="08090005" w:tentative="1">
      <w:start w:val="1"/>
      <w:numFmt w:val="bullet"/>
      <w:lvlText w:val=""/>
      <w:lvlJc w:val="left"/>
      <w:pPr>
        <w:ind w:left="4060" w:hanging="360"/>
      </w:pPr>
      <w:rPr>
        <w:rFonts w:ascii="Wingdings" w:hAnsi="Wingdings" w:hint="default"/>
      </w:rPr>
    </w:lvl>
    <w:lvl w:ilvl="6" w:tplc="08090001" w:tentative="1">
      <w:start w:val="1"/>
      <w:numFmt w:val="bullet"/>
      <w:lvlText w:val=""/>
      <w:lvlJc w:val="left"/>
      <w:pPr>
        <w:ind w:left="4780" w:hanging="360"/>
      </w:pPr>
      <w:rPr>
        <w:rFonts w:ascii="Symbol" w:hAnsi="Symbol" w:hint="default"/>
      </w:rPr>
    </w:lvl>
    <w:lvl w:ilvl="7" w:tplc="08090003" w:tentative="1">
      <w:start w:val="1"/>
      <w:numFmt w:val="bullet"/>
      <w:lvlText w:val="o"/>
      <w:lvlJc w:val="left"/>
      <w:pPr>
        <w:ind w:left="5500" w:hanging="360"/>
      </w:pPr>
      <w:rPr>
        <w:rFonts w:ascii="Courier New" w:hAnsi="Courier New" w:cs="Courier New" w:hint="default"/>
      </w:rPr>
    </w:lvl>
    <w:lvl w:ilvl="8" w:tplc="08090005" w:tentative="1">
      <w:start w:val="1"/>
      <w:numFmt w:val="bullet"/>
      <w:lvlText w:val=""/>
      <w:lvlJc w:val="left"/>
      <w:pPr>
        <w:ind w:left="6220" w:hanging="360"/>
      </w:pPr>
      <w:rPr>
        <w:rFonts w:ascii="Wingdings" w:hAnsi="Wingdings" w:hint="default"/>
      </w:rPr>
    </w:lvl>
  </w:abstractNum>
  <w:abstractNum w:abstractNumId="16" w15:restartNumberingAfterBreak="0">
    <w:nsid w:val="42A45228"/>
    <w:multiLevelType w:val="hybridMultilevel"/>
    <w:tmpl w:val="3CEEF22C"/>
    <w:lvl w:ilvl="0" w:tplc="66009960">
      <w:start w:val="1"/>
      <w:numFmt w:val="bullet"/>
      <w:lvlText w:val="•"/>
      <w:lvlJc w:val="left"/>
      <w:pPr>
        <w:ind w:left="800" w:hanging="280"/>
      </w:pPr>
    </w:lvl>
    <w:lvl w:ilvl="1" w:tplc="08090003" w:tentative="1">
      <w:start w:val="1"/>
      <w:numFmt w:val="bullet"/>
      <w:lvlText w:val="o"/>
      <w:lvlJc w:val="left"/>
      <w:pPr>
        <w:ind w:left="1700" w:hanging="360"/>
      </w:pPr>
      <w:rPr>
        <w:rFonts w:ascii="Courier New" w:hAnsi="Courier New" w:cs="Courier New" w:hint="default"/>
      </w:rPr>
    </w:lvl>
    <w:lvl w:ilvl="2" w:tplc="08090005" w:tentative="1">
      <w:start w:val="1"/>
      <w:numFmt w:val="bullet"/>
      <w:lvlText w:val=""/>
      <w:lvlJc w:val="left"/>
      <w:pPr>
        <w:ind w:left="2420" w:hanging="360"/>
      </w:pPr>
      <w:rPr>
        <w:rFonts w:ascii="Wingdings" w:hAnsi="Wingdings" w:hint="default"/>
      </w:rPr>
    </w:lvl>
    <w:lvl w:ilvl="3" w:tplc="08090001" w:tentative="1">
      <w:start w:val="1"/>
      <w:numFmt w:val="bullet"/>
      <w:lvlText w:val=""/>
      <w:lvlJc w:val="left"/>
      <w:pPr>
        <w:ind w:left="3140" w:hanging="360"/>
      </w:pPr>
      <w:rPr>
        <w:rFonts w:ascii="Symbol" w:hAnsi="Symbol" w:hint="default"/>
      </w:rPr>
    </w:lvl>
    <w:lvl w:ilvl="4" w:tplc="08090003" w:tentative="1">
      <w:start w:val="1"/>
      <w:numFmt w:val="bullet"/>
      <w:lvlText w:val="o"/>
      <w:lvlJc w:val="left"/>
      <w:pPr>
        <w:ind w:left="3860" w:hanging="360"/>
      </w:pPr>
      <w:rPr>
        <w:rFonts w:ascii="Courier New" w:hAnsi="Courier New" w:cs="Courier New" w:hint="default"/>
      </w:rPr>
    </w:lvl>
    <w:lvl w:ilvl="5" w:tplc="08090005" w:tentative="1">
      <w:start w:val="1"/>
      <w:numFmt w:val="bullet"/>
      <w:lvlText w:val=""/>
      <w:lvlJc w:val="left"/>
      <w:pPr>
        <w:ind w:left="4580" w:hanging="360"/>
      </w:pPr>
      <w:rPr>
        <w:rFonts w:ascii="Wingdings" w:hAnsi="Wingdings" w:hint="default"/>
      </w:rPr>
    </w:lvl>
    <w:lvl w:ilvl="6" w:tplc="08090001" w:tentative="1">
      <w:start w:val="1"/>
      <w:numFmt w:val="bullet"/>
      <w:lvlText w:val=""/>
      <w:lvlJc w:val="left"/>
      <w:pPr>
        <w:ind w:left="5300" w:hanging="360"/>
      </w:pPr>
      <w:rPr>
        <w:rFonts w:ascii="Symbol" w:hAnsi="Symbol" w:hint="default"/>
      </w:rPr>
    </w:lvl>
    <w:lvl w:ilvl="7" w:tplc="08090003" w:tentative="1">
      <w:start w:val="1"/>
      <w:numFmt w:val="bullet"/>
      <w:lvlText w:val="o"/>
      <w:lvlJc w:val="left"/>
      <w:pPr>
        <w:ind w:left="6020" w:hanging="360"/>
      </w:pPr>
      <w:rPr>
        <w:rFonts w:ascii="Courier New" w:hAnsi="Courier New" w:cs="Courier New" w:hint="default"/>
      </w:rPr>
    </w:lvl>
    <w:lvl w:ilvl="8" w:tplc="08090005" w:tentative="1">
      <w:start w:val="1"/>
      <w:numFmt w:val="bullet"/>
      <w:lvlText w:val=""/>
      <w:lvlJc w:val="left"/>
      <w:pPr>
        <w:ind w:left="6740" w:hanging="360"/>
      </w:pPr>
      <w:rPr>
        <w:rFonts w:ascii="Wingdings" w:hAnsi="Wingdings" w:hint="default"/>
      </w:rPr>
    </w:lvl>
  </w:abstractNum>
  <w:abstractNum w:abstractNumId="17" w15:restartNumberingAfterBreak="0">
    <w:nsid w:val="46A97A59"/>
    <w:multiLevelType w:val="hybridMultilevel"/>
    <w:tmpl w:val="11869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6332C7"/>
    <w:multiLevelType w:val="hybridMultilevel"/>
    <w:tmpl w:val="5608C628"/>
    <w:lvl w:ilvl="0" w:tplc="66009960">
      <w:start w:val="1"/>
      <w:numFmt w:val="bullet"/>
      <w:lvlText w:val="•"/>
      <w:lvlJc w:val="left"/>
      <w:pPr>
        <w:ind w:left="540" w:hanging="28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07188B"/>
    <w:multiLevelType w:val="hybridMultilevel"/>
    <w:tmpl w:val="B2AAA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521395"/>
    <w:multiLevelType w:val="hybridMultilevel"/>
    <w:tmpl w:val="D0526EE8"/>
    <w:lvl w:ilvl="0" w:tplc="66009960">
      <w:start w:val="1"/>
      <w:numFmt w:val="bullet"/>
      <w:lvlText w:val="•"/>
      <w:lvlJc w:val="left"/>
      <w:pPr>
        <w:ind w:left="800" w:hanging="280"/>
      </w:pPr>
    </w:lvl>
    <w:lvl w:ilvl="1" w:tplc="08090003" w:tentative="1">
      <w:start w:val="1"/>
      <w:numFmt w:val="bullet"/>
      <w:lvlText w:val="o"/>
      <w:lvlJc w:val="left"/>
      <w:pPr>
        <w:ind w:left="1700" w:hanging="360"/>
      </w:pPr>
      <w:rPr>
        <w:rFonts w:ascii="Courier New" w:hAnsi="Courier New" w:cs="Courier New" w:hint="default"/>
      </w:rPr>
    </w:lvl>
    <w:lvl w:ilvl="2" w:tplc="08090005" w:tentative="1">
      <w:start w:val="1"/>
      <w:numFmt w:val="bullet"/>
      <w:lvlText w:val=""/>
      <w:lvlJc w:val="left"/>
      <w:pPr>
        <w:ind w:left="2420" w:hanging="360"/>
      </w:pPr>
      <w:rPr>
        <w:rFonts w:ascii="Wingdings" w:hAnsi="Wingdings" w:hint="default"/>
      </w:rPr>
    </w:lvl>
    <w:lvl w:ilvl="3" w:tplc="08090001" w:tentative="1">
      <w:start w:val="1"/>
      <w:numFmt w:val="bullet"/>
      <w:lvlText w:val=""/>
      <w:lvlJc w:val="left"/>
      <w:pPr>
        <w:ind w:left="3140" w:hanging="360"/>
      </w:pPr>
      <w:rPr>
        <w:rFonts w:ascii="Symbol" w:hAnsi="Symbol" w:hint="default"/>
      </w:rPr>
    </w:lvl>
    <w:lvl w:ilvl="4" w:tplc="08090003" w:tentative="1">
      <w:start w:val="1"/>
      <w:numFmt w:val="bullet"/>
      <w:lvlText w:val="o"/>
      <w:lvlJc w:val="left"/>
      <w:pPr>
        <w:ind w:left="3860" w:hanging="360"/>
      </w:pPr>
      <w:rPr>
        <w:rFonts w:ascii="Courier New" w:hAnsi="Courier New" w:cs="Courier New" w:hint="default"/>
      </w:rPr>
    </w:lvl>
    <w:lvl w:ilvl="5" w:tplc="08090005" w:tentative="1">
      <w:start w:val="1"/>
      <w:numFmt w:val="bullet"/>
      <w:lvlText w:val=""/>
      <w:lvlJc w:val="left"/>
      <w:pPr>
        <w:ind w:left="4580" w:hanging="360"/>
      </w:pPr>
      <w:rPr>
        <w:rFonts w:ascii="Wingdings" w:hAnsi="Wingdings" w:hint="default"/>
      </w:rPr>
    </w:lvl>
    <w:lvl w:ilvl="6" w:tplc="08090001" w:tentative="1">
      <w:start w:val="1"/>
      <w:numFmt w:val="bullet"/>
      <w:lvlText w:val=""/>
      <w:lvlJc w:val="left"/>
      <w:pPr>
        <w:ind w:left="5300" w:hanging="360"/>
      </w:pPr>
      <w:rPr>
        <w:rFonts w:ascii="Symbol" w:hAnsi="Symbol" w:hint="default"/>
      </w:rPr>
    </w:lvl>
    <w:lvl w:ilvl="7" w:tplc="08090003" w:tentative="1">
      <w:start w:val="1"/>
      <w:numFmt w:val="bullet"/>
      <w:lvlText w:val="o"/>
      <w:lvlJc w:val="left"/>
      <w:pPr>
        <w:ind w:left="6020" w:hanging="360"/>
      </w:pPr>
      <w:rPr>
        <w:rFonts w:ascii="Courier New" w:hAnsi="Courier New" w:cs="Courier New" w:hint="default"/>
      </w:rPr>
    </w:lvl>
    <w:lvl w:ilvl="8" w:tplc="08090005" w:tentative="1">
      <w:start w:val="1"/>
      <w:numFmt w:val="bullet"/>
      <w:lvlText w:val=""/>
      <w:lvlJc w:val="left"/>
      <w:pPr>
        <w:ind w:left="6740" w:hanging="360"/>
      </w:pPr>
      <w:rPr>
        <w:rFonts w:ascii="Wingdings" w:hAnsi="Wingdings" w:hint="default"/>
      </w:rPr>
    </w:lvl>
  </w:abstractNum>
  <w:abstractNum w:abstractNumId="21" w15:restartNumberingAfterBreak="0">
    <w:nsid w:val="7B1D6B99"/>
    <w:multiLevelType w:val="hybridMultilevel"/>
    <w:tmpl w:val="021C4ABC"/>
    <w:lvl w:ilvl="0" w:tplc="66009960">
      <w:start w:val="1"/>
      <w:numFmt w:val="bullet"/>
      <w:lvlText w:val="•"/>
      <w:lvlJc w:val="left"/>
      <w:pPr>
        <w:ind w:left="540" w:hanging="280"/>
      </w:pPr>
    </w:lvl>
    <w:lvl w:ilvl="1" w:tplc="64DA7988">
      <w:numFmt w:val="decimal"/>
      <w:lvlText w:val=""/>
      <w:lvlJc w:val="left"/>
    </w:lvl>
    <w:lvl w:ilvl="2" w:tplc="DDF47E06">
      <w:numFmt w:val="decimal"/>
      <w:lvlText w:val=""/>
      <w:lvlJc w:val="left"/>
    </w:lvl>
    <w:lvl w:ilvl="3" w:tplc="1C44B22A">
      <w:numFmt w:val="decimal"/>
      <w:lvlText w:val=""/>
      <w:lvlJc w:val="left"/>
    </w:lvl>
    <w:lvl w:ilvl="4" w:tplc="90A0F840">
      <w:numFmt w:val="decimal"/>
      <w:lvlText w:val=""/>
      <w:lvlJc w:val="left"/>
    </w:lvl>
    <w:lvl w:ilvl="5" w:tplc="36CA3B3A">
      <w:numFmt w:val="decimal"/>
      <w:lvlText w:val=""/>
      <w:lvlJc w:val="left"/>
    </w:lvl>
    <w:lvl w:ilvl="6" w:tplc="6F662FDE">
      <w:numFmt w:val="decimal"/>
      <w:lvlText w:val=""/>
      <w:lvlJc w:val="left"/>
    </w:lvl>
    <w:lvl w:ilvl="7" w:tplc="BEE88246">
      <w:numFmt w:val="decimal"/>
      <w:lvlText w:val=""/>
      <w:lvlJc w:val="left"/>
    </w:lvl>
    <w:lvl w:ilvl="8" w:tplc="2EFE487C">
      <w:numFmt w:val="decimal"/>
      <w:lvlText w:val=""/>
      <w:lvlJc w:val="left"/>
    </w:lvl>
  </w:abstractNum>
  <w:num w:numId="1" w16cid:durableId="2121683138">
    <w:abstractNumId w:val="14"/>
  </w:num>
  <w:num w:numId="2" w16cid:durableId="1415322537">
    <w:abstractNumId w:val="0"/>
  </w:num>
  <w:num w:numId="3" w16cid:durableId="251669852">
    <w:abstractNumId w:val="7"/>
  </w:num>
  <w:num w:numId="4" w16cid:durableId="597952864">
    <w:abstractNumId w:val="6"/>
    <w:lvlOverride w:ilvl="0">
      <w:startOverride w:val="1"/>
    </w:lvlOverride>
  </w:num>
  <w:num w:numId="5" w16cid:durableId="52965893">
    <w:abstractNumId w:val="5"/>
  </w:num>
  <w:num w:numId="6" w16cid:durableId="357851485">
    <w:abstractNumId w:val="21"/>
  </w:num>
  <w:num w:numId="7" w16cid:durableId="1900243192">
    <w:abstractNumId w:val="21"/>
  </w:num>
  <w:num w:numId="8" w16cid:durableId="511185546">
    <w:abstractNumId w:val="4"/>
    <w:lvlOverride w:ilvl="0">
      <w:startOverride w:val="1"/>
    </w:lvlOverride>
  </w:num>
  <w:num w:numId="9" w16cid:durableId="138040501">
    <w:abstractNumId w:val="20"/>
  </w:num>
  <w:num w:numId="10" w16cid:durableId="2137798184">
    <w:abstractNumId w:val="18"/>
  </w:num>
  <w:num w:numId="11" w16cid:durableId="10572458">
    <w:abstractNumId w:val="2"/>
  </w:num>
  <w:num w:numId="12" w16cid:durableId="1340738915">
    <w:abstractNumId w:val="15"/>
  </w:num>
  <w:num w:numId="13" w16cid:durableId="1608808881">
    <w:abstractNumId w:val="16"/>
  </w:num>
  <w:num w:numId="14" w16cid:durableId="348337982">
    <w:abstractNumId w:val="1"/>
  </w:num>
  <w:num w:numId="15" w16cid:durableId="2094350938">
    <w:abstractNumId w:val="13"/>
  </w:num>
  <w:num w:numId="16" w16cid:durableId="1162308359">
    <w:abstractNumId w:val="11"/>
  </w:num>
  <w:num w:numId="17" w16cid:durableId="327826610">
    <w:abstractNumId w:val="3"/>
  </w:num>
  <w:num w:numId="18" w16cid:durableId="855534937">
    <w:abstractNumId w:val="17"/>
  </w:num>
  <w:num w:numId="19" w16cid:durableId="658004568">
    <w:abstractNumId w:val="8"/>
  </w:num>
  <w:num w:numId="20" w16cid:durableId="1760714485">
    <w:abstractNumId w:val="10"/>
  </w:num>
  <w:num w:numId="21" w16cid:durableId="750590325">
    <w:abstractNumId w:val="19"/>
  </w:num>
  <w:num w:numId="22" w16cid:durableId="741681535">
    <w:abstractNumId w:val="12"/>
  </w:num>
  <w:num w:numId="23" w16cid:durableId="19832609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199"/>
    <w:rsid w:val="00013406"/>
    <w:rsid w:val="00021208"/>
    <w:rsid w:val="00024ECC"/>
    <w:rsid w:val="0005589F"/>
    <w:rsid w:val="00074D91"/>
    <w:rsid w:val="000B2F75"/>
    <w:rsid w:val="000B32B2"/>
    <w:rsid w:val="000E535E"/>
    <w:rsid w:val="000F1DE0"/>
    <w:rsid w:val="00111B0A"/>
    <w:rsid w:val="00136019"/>
    <w:rsid w:val="001400CB"/>
    <w:rsid w:val="00155CAE"/>
    <w:rsid w:val="00162BB0"/>
    <w:rsid w:val="00162CAF"/>
    <w:rsid w:val="001648CB"/>
    <w:rsid w:val="001758AA"/>
    <w:rsid w:val="00185696"/>
    <w:rsid w:val="001875D2"/>
    <w:rsid w:val="00193FFA"/>
    <w:rsid w:val="00194413"/>
    <w:rsid w:val="001A22D3"/>
    <w:rsid w:val="001B0BC8"/>
    <w:rsid w:val="001E1615"/>
    <w:rsid w:val="002063E8"/>
    <w:rsid w:val="00217851"/>
    <w:rsid w:val="002506D9"/>
    <w:rsid w:val="00253371"/>
    <w:rsid w:val="00254D5B"/>
    <w:rsid w:val="002827A9"/>
    <w:rsid w:val="00292D43"/>
    <w:rsid w:val="002A6EDB"/>
    <w:rsid w:val="002C6AAD"/>
    <w:rsid w:val="002D5854"/>
    <w:rsid w:val="002E1AB5"/>
    <w:rsid w:val="003118FA"/>
    <w:rsid w:val="00331079"/>
    <w:rsid w:val="0033677C"/>
    <w:rsid w:val="00360AE6"/>
    <w:rsid w:val="003842B8"/>
    <w:rsid w:val="003B155F"/>
    <w:rsid w:val="00401ECF"/>
    <w:rsid w:val="004331FD"/>
    <w:rsid w:val="004444CE"/>
    <w:rsid w:val="00453138"/>
    <w:rsid w:val="00477782"/>
    <w:rsid w:val="0048016B"/>
    <w:rsid w:val="004861FE"/>
    <w:rsid w:val="00486592"/>
    <w:rsid w:val="00490872"/>
    <w:rsid w:val="004D0199"/>
    <w:rsid w:val="004D23BF"/>
    <w:rsid w:val="004E42FB"/>
    <w:rsid w:val="004F46FB"/>
    <w:rsid w:val="00512A45"/>
    <w:rsid w:val="005146B6"/>
    <w:rsid w:val="005210E2"/>
    <w:rsid w:val="0057284B"/>
    <w:rsid w:val="005962A9"/>
    <w:rsid w:val="005A0B50"/>
    <w:rsid w:val="005B0391"/>
    <w:rsid w:val="005D28C7"/>
    <w:rsid w:val="005D5818"/>
    <w:rsid w:val="005E3310"/>
    <w:rsid w:val="00602E8C"/>
    <w:rsid w:val="00611840"/>
    <w:rsid w:val="006305D9"/>
    <w:rsid w:val="006705BB"/>
    <w:rsid w:val="006927F8"/>
    <w:rsid w:val="006A01CE"/>
    <w:rsid w:val="006A1E49"/>
    <w:rsid w:val="006C2AE0"/>
    <w:rsid w:val="006D463F"/>
    <w:rsid w:val="006D575A"/>
    <w:rsid w:val="006D5813"/>
    <w:rsid w:val="006E0877"/>
    <w:rsid w:val="006E2E39"/>
    <w:rsid w:val="006E4943"/>
    <w:rsid w:val="006E6B8C"/>
    <w:rsid w:val="00715645"/>
    <w:rsid w:val="00720255"/>
    <w:rsid w:val="007458C8"/>
    <w:rsid w:val="0075056C"/>
    <w:rsid w:val="00750A7B"/>
    <w:rsid w:val="007575A5"/>
    <w:rsid w:val="00773333"/>
    <w:rsid w:val="00780E49"/>
    <w:rsid w:val="00785C74"/>
    <w:rsid w:val="00791895"/>
    <w:rsid w:val="007A41C9"/>
    <w:rsid w:val="007A4889"/>
    <w:rsid w:val="007B4FA2"/>
    <w:rsid w:val="007C190D"/>
    <w:rsid w:val="007C2277"/>
    <w:rsid w:val="007C4A4C"/>
    <w:rsid w:val="007D13F6"/>
    <w:rsid w:val="007D4F4A"/>
    <w:rsid w:val="007D5F23"/>
    <w:rsid w:val="007E166E"/>
    <w:rsid w:val="007F27C3"/>
    <w:rsid w:val="0080614D"/>
    <w:rsid w:val="00811826"/>
    <w:rsid w:val="00844F36"/>
    <w:rsid w:val="0085363F"/>
    <w:rsid w:val="008556FF"/>
    <w:rsid w:val="008635FB"/>
    <w:rsid w:val="00872ED7"/>
    <w:rsid w:val="00890893"/>
    <w:rsid w:val="008929BF"/>
    <w:rsid w:val="00897A84"/>
    <w:rsid w:val="008F7BE4"/>
    <w:rsid w:val="00904C30"/>
    <w:rsid w:val="00926114"/>
    <w:rsid w:val="00927773"/>
    <w:rsid w:val="00935F58"/>
    <w:rsid w:val="00940966"/>
    <w:rsid w:val="00943F32"/>
    <w:rsid w:val="00965B57"/>
    <w:rsid w:val="00966CD7"/>
    <w:rsid w:val="009801EB"/>
    <w:rsid w:val="009B536B"/>
    <w:rsid w:val="009E2DD5"/>
    <w:rsid w:val="009E6AF0"/>
    <w:rsid w:val="00A353F6"/>
    <w:rsid w:val="00A63BA5"/>
    <w:rsid w:val="00A64415"/>
    <w:rsid w:val="00A71D5E"/>
    <w:rsid w:val="00AC1182"/>
    <w:rsid w:val="00AD6545"/>
    <w:rsid w:val="00AE2950"/>
    <w:rsid w:val="00AE613D"/>
    <w:rsid w:val="00B0235F"/>
    <w:rsid w:val="00B176E5"/>
    <w:rsid w:val="00B34C61"/>
    <w:rsid w:val="00B611A1"/>
    <w:rsid w:val="00B725A1"/>
    <w:rsid w:val="00B80F2B"/>
    <w:rsid w:val="00BA5975"/>
    <w:rsid w:val="00BC25A9"/>
    <w:rsid w:val="00BC366D"/>
    <w:rsid w:val="00BD3160"/>
    <w:rsid w:val="00BD697C"/>
    <w:rsid w:val="00BE24D5"/>
    <w:rsid w:val="00BE37EB"/>
    <w:rsid w:val="00C14778"/>
    <w:rsid w:val="00C336AD"/>
    <w:rsid w:val="00C5024C"/>
    <w:rsid w:val="00C50C07"/>
    <w:rsid w:val="00C75653"/>
    <w:rsid w:val="00C75E21"/>
    <w:rsid w:val="00C833FF"/>
    <w:rsid w:val="00CA34D2"/>
    <w:rsid w:val="00CA4343"/>
    <w:rsid w:val="00CB4723"/>
    <w:rsid w:val="00D2240D"/>
    <w:rsid w:val="00D40868"/>
    <w:rsid w:val="00D41B0B"/>
    <w:rsid w:val="00D467A6"/>
    <w:rsid w:val="00D50749"/>
    <w:rsid w:val="00D57493"/>
    <w:rsid w:val="00D57A01"/>
    <w:rsid w:val="00D6168C"/>
    <w:rsid w:val="00D742C1"/>
    <w:rsid w:val="00D803BB"/>
    <w:rsid w:val="00D92EA8"/>
    <w:rsid w:val="00DA0E2E"/>
    <w:rsid w:val="00DA4453"/>
    <w:rsid w:val="00DB2FDB"/>
    <w:rsid w:val="00DC2755"/>
    <w:rsid w:val="00E01CE0"/>
    <w:rsid w:val="00E30ACC"/>
    <w:rsid w:val="00E320B5"/>
    <w:rsid w:val="00E46903"/>
    <w:rsid w:val="00E51BE7"/>
    <w:rsid w:val="00EB5699"/>
    <w:rsid w:val="00EC1181"/>
    <w:rsid w:val="00EC7CEF"/>
    <w:rsid w:val="00ED242B"/>
    <w:rsid w:val="00EE4B34"/>
    <w:rsid w:val="00EE673D"/>
    <w:rsid w:val="00EF1787"/>
    <w:rsid w:val="00EF2D96"/>
    <w:rsid w:val="00F24350"/>
    <w:rsid w:val="00F56E05"/>
    <w:rsid w:val="00F86C08"/>
    <w:rsid w:val="00FA1E42"/>
    <w:rsid w:val="00FA7C41"/>
    <w:rsid w:val="00FA7D4F"/>
    <w:rsid w:val="00FB78C1"/>
    <w:rsid w:val="00FC265A"/>
    <w:rsid w:val="00FC4486"/>
    <w:rsid w:val="00FD11AB"/>
    <w:rsid w:val="00FE60A2"/>
    <w:rsid w:val="00FF33E1"/>
    <w:rsid w:val="04309035"/>
    <w:rsid w:val="05022391"/>
    <w:rsid w:val="07329B14"/>
    <w:rsid w:val="0970CBB7"/>
    <w:rsid w:val="09C8F1A6"/>
    <w:rsid w:val="0F1853DA"/>
    <w:rsid w:val="112BE232"/>
    <w:rsid w:val="1539C48E"/>
    <w:rsid w:val="1C3B30BA"/>
    <w:rsid w:val="1E5792A1"/>
    <w:rsid w:val="26BA4F33"/>
    <w:rsid w:val="28F04D3D"/>
    <w:rsid w:val="2962C31D"/>
    <w:rsid w:val="2CC0CFA2"/>
    <w:rsid w:val="2DB19FAF"/>
    <w:rsid w:val="37E4262E"/>
    <w:rsid w:val="3AEA04D8"/>
    <w:rsid w:val="3C811CAC"/>
    <w:rsid w:val="3CAD8D61"/>
    <w:rsid w:val="3E4132A6"/>
    <w:rsid w:val="415A787A"/>
    <w:rsid w:val="4C9C18F1"/>
    <w:rsid w:val="5541F309"/>
    <w:rsid w:val="56133BFF"/>
    <w:rsid w:val="59F35432"/>
    <w:rsid w:val="5D2DFF96"/>
    <w:rsid w:val="6AC12D3D"/>
    <w:rsid w:val="6D37DF6B"/>
    <w:rsid w:val="71186906"/>
    <w:rsid w:val="770A8CFA"/>
    <w:rsid w:val="7A88F3DB"/>
    <w:rsid w:val="7BFE966B"/>
    <w:rsid w:val="7CDFE8D8"/>
    <w:rsid w:val="7D0DFB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5E416"/>
  <w15:chartTrackingRefBased/>
  <w15:docId w15:val="{AF59E84E-783B-4E72-86F8-C4A0C9251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9E2DD5"/>
    <w:pPr>
      <w:keepNext/>
      <w:keepLines/>
      <w:spacing w:before="360" w:after="80"/>
      <w:outlineLvl w:val="0"/>
    </w:pPr>
    <w:rPr>
      <w:rFonts w:asciiTheme="majorHAnsi" w:eastAsiaTheme="majorEastAsia" w:hAnsiTheme="majorHAnsi" w:cstheme="majorBidi"/>
      <w:b/>
      <w:bCs/>
      <w:color w:val="00A8AB"/>
      <w:sz w:val="40"/>
      <w:szCs w:val="40"/>
    </w:rPr>
  </w:style>
  <w:style w:type="paragraph" w:styleId="Heading2">
    <w:name w:val="heading 2"/>
    <w:basedOn w:val="Normal"/>
    <w:next w:val="Normal"/>
    <w:link w:val="Heading2Char"/>
    <w:autoRedefine/>
    <w:uiPriority w:val="9"/>
    <w:unhideWhenUsed/>
    <w:qFormat/>
    <w:rsid w:val="006305D9"/>
    <w:pPr>
      <w:keepNext/>
      <w:keepLines/>
      <w:spacing w:before="160" w:after="80"/>
      <w:outlineLvl w:val="1"/>
    </w:pPr>
    <w:rPr>
      <w:rFonts w:asciiTheme="majorHAnsi" w:eastAsiaTheme="majorEastAsia" w:hAnsiTheme="majorHAnsi" w:cstheme="majorBidi"/>
      <w:color w:val="00A8AB"/>
      <w:sz w:val="32"/>
      <w:szCs w:val="32"/>
    </w:rPr>
  </w:style>
  <w:style w:type="paragraph" w:styleId="Heading3">
    <w:name w:val="heading 3"/>
    <w:basedOn w:val="Normal"/>
    <w:next w:val="Normal"/>
    <w:link w:val="Heading3Char"/>
    <w:autoRedefine/>
    <w:uiPriority w:val="9"/>
    <w:unhideWhenUsed/>
    <w:qFormat/>
    <w:rsid w:val="006305D9"/>
    <w:pPr>
      <w:keepNext/>
      <w:keepLines/>
      <w:spacing w:before="160" w:after="80"/>
      <w:outlineLvl w:val="2"/>
    </w:pPr>
    <w:rPr>
      <w:rFonts w:asciiTheme="majorHAnsi" w:eastAsiaTheme="majorEastAsia" w:hAnsiTheme="majorHAnsi" w:cstheme="majorBidi"/>
      <w:color w:val="00A8AB"/>
      <w:sz w:val="28"/>
      <w:szCs w:val="28"/>
    </w:rPr>
  </w:style>
  <w:style w:type="paragraph" w:styleId="Heading4">
    <w:name w:val="heading 4"/>
    <w:basedOn w:val="Normal"/>
    <w:next w:val="Normal"/>
    <w:link w:val="Heading4Char"/>
    <w:uiPriority w:val="9"/>
    <w:semiHidden/>
    <w:unhideWhenUsed/>
    <w:qFormat/>
    <w:rsid w:val="004D01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01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01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01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01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01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2DD5"/>
    <w:rPr>
      <w:rFonts w:asciiTheme="majorHAnsi" w:eastAsiaTheme="majorEastAsia" w:hAnsiTheme="majorHAnsi" w:cstheme="majorBidi"/>
      <w:b/>
      <w:bCs/>
      <w:color w:val="00A8AB"/>
      <w:sz w:val="40"/>
      <w:szCs w:val="40"/>
    </w:rPr>
  </w:style>
  <w:style w:type="character" w:customStyle="1" w:styleId="Heading2Char">
    <w:name w:val="Heading 2 Char"/>
    <w:basedOn w:val="DefaultParagraphFont"/>
    <w:link w:val="Heading2"/>
    <w:uiPriority w:val="9"/>
    <w:rsid w:val="006305D9"/>
    <w:rPr>
      <w:rFonts w:asciiTheme="majorHAnsi" w:eastAsiaTheme="majorEastAsia" w:hAnsiTheme="majorHAnsi" w:cstheme="majorBidi"/>
      <w:color w:val="00A8AB"/>
      <w:sz w:val="32"/>
      <w:szCs w:val="32"/>
    </w:rPr>
  </w:style>
  <w:style w:type="character" w:customStyle="1" w:styleId="Heading3Char">
    <w:name w:val="Heading 3 Char"/>
    <w:basedOn w:val="DefaultParagraphFont"/>
    <w:link w:val="Heading3"/>
    <w:uiPriority w:val="9"/>
    <w:rsid w:val="006305D9"/>
    <w:rPr>
      <w:rFonts w:asciiTheme="majorHAnsi" w:eastAsiaTheme="majorEastAsia" w:hAnsiTheme="majorHAnsi" w:cstheme="majorBidi"/>
      <w:color w:val="00A8AB"/>
      <w:sz w:val="28"/>
      <w:szCs w:val="28"/>
    </w:rPr>
  </w:style>
  <w:style w:type="character" w:customStyle="1" w:styleId="Heading4Char">
    <w:name w:val="Heading 4 Char"/>
    <w:basedOn w:val="DefaultParagraphFont"/>
    <w:link w:val="Heading4"/>
    <w:uiPriority w:val="9"/>
    <w:semiHidden/>
    <w:rsid w:val="004D01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01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01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01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01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0199"/>
    <w:rPr>
      <w:rFonts w:eastAsiaTheme="majorEastAsia" w:cstheme="majorBidi"/>
      <w:color w:val="272727" w:themeColor="text1" w:themeTint="D8"/>
    </w:rPr>
  </w:style>
  <w:style w:type="paragraph" w:styleId="Title">
    <w:name w:val="Title"/>
    <w:basedOn w:val="Normal"/>
    <w:next w:val="Normal"/>
    <w:link w:val="TitleChar"/>
    <w:qFormat/>
    <w:rsid w:val="004D01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D01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4D01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4D01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0199"/>
    <w:pPr>
      <w:spacing w:before="160"/>
      <w:jc w:val="center"/>
    </w:pPr>
    <w:rPr>
      <w:i/>
      <w:iCs/>
      <w:color w:val="404040" w:themeColor="text1" w:themeTint="BF"/>
    </w:rPr>
  </w:style>
  <w:style w:type="character" w:customStyle="1" w:styleId="QuoteChar">
    <w:name w:val="Quote Char"/>
    <w:basedOn w:val="DefaultParagraphFont"/>
    <w:link w:val="Quote"/>
    <w:uiPriority w:val="29"/>
    <w:rsid w:val="004D0199"/>
    <w:rPr>
      <w:i/>
      <w:iCs/>
      <w:color w:val="404040" w:themeColor="text1" w:themeTint="BF"/>
    </w:rPr>
  </w:style>
  <w:style w:type="paragraph" w:styleId="ListParagraph">
    <w:name w:val="List Paragraph"/>
    <w:basedOn w:val="Normal"/>
    <w:uiPriority w:val="34"/>
    <w:qFormat/>
    <w:rsid w:val="004D0199"/>
    <w:pPr>
      <w:ind w:left="720"/>
      <w:contextualSpacing/>
    </w:pPr>
  </w:style>
  <w:style w:type="character" w:styleId="IntenseEmphasis">
    <w:name w:val="Intense Emphasis"/>
    <w:basedOn w:val="DefaultParagraphFont"/>
    <w:uiPriority w:val="21"/>
    <w:qFormat/>
    <w:rsid w:val="004D0199"/>
    <w:rPr>
      <w:i/>
      <w:iCs/>
      <w:color w:val="0F4761" w:themeColor="accent1" w:themeShade="BF"/>
    </w:rPr>
  </w:style>
  <w:style w:type="paragraph" w:styleId="IntenseQuote">
    <w:name w:val="Intense Quote"/>
    <w:basedOn w:val="Normal"/>
    <w:next w:val="Normal"/>
    <w:link w:val="IntenseQuoteChar"/>
    <w:uiPriority w:val="30"/>
    <w:qFormat/>
    <w:rsid w:val="004D01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0199"/>
    <w:rPr>
      <w:i/>
      <w:iCs/>
      <w:color w:val="0F4761" w:themeColor="accent1" w:themeShade="BF"/>
    </w:rPr>
  </w:style>
  <w:style w:type="character" w:styleId="IntenseReference">
    <w:name w:val="Intense Reference"/>
    <w:basedOn w:val="DefaultParagraphFont"/>
    <w:uiPriority w:val="32"/>
    <w:qFormat/>
    <w:rsid w:val="004D0199"/>
    <w:rPr>
      <w:b/>
      <w:bCs/>
      <w:smallCaps/>
      <w:color w:val="0F4761" w:themeColor="accent1" w:themeShade="BF"/>
      <w:spacing w:val="5"/>
    </w:rPr>
  </w:style>
  <w:style w:type="character" w:styleId="CommentReference">
    <w:name w:val="annotation reference"/>
    <w:basedOn w:val="DefaultParagraphFont"/>
    <w:uiPriority w:val="99"/>
    <w:semiHidden/>
    <w:unhideWhenUsed/>
    <w:rsid w:val="004D0199"/>
    <w:rPr>
      <w:sz w:val="16"/>
      <w:szCs w:val="16"/>
    </w:rPr>
  </w:style>
  <w:style w:type="paragraph" w:styleId="CommentText">
    <w:name w:val="annotation text"/>
    <w:basedOn w:val="Normal"/>
    <w:link w:val="CommentTextChar"/>
    <w:uiPriority w:val="99"/>
    <w:unhideWhenUsed/>
    <w:rsid w:val="004D0199"/>
    <w:pPr>
      <w:spacing w:line="240" w:lineRule="auto"/>
    </w:pPr>
    <w:rPr>
      <w:sz w:val="20"/>
      <w:szCs w:val="20"/>
    </w:rPr>
  </w:style>
  <w:style w:type="character" w:customStyle="1" w:styleId="CommentTextChar">
    <w:name w:val="Comment Text Char"/>
    <w:basedOn w:val="DefaultParagraphFont"/>
    <w:link w:val="CommentText"/>
    <w:uiPriority w:val="99"/>
    <w:rsid w:val="004D0199"/>
    <w:rPr>
      <w:sz w:val="20"/>
      <w:szCs w:val="20"/>
    </w:rPr>
  </w:style>
  <w:style w:type="paragraph" w:styleId="CommentSubject">
    <w:name w:val="annotation subject"/>
    <w:basedOn w:val="CommentText"/>
    <w:next w:val="CommentText"/>
    <w:link w:val="CommentSubjectChar"/>
    <w:uiPriority w:val="99"/>
    <w:semiHidden/>
    <w:unhideWhenUsed/>
    <w:rsid w:val="004D0199"/>
    <w:rPr>
      <w:b/>
      <w:bCs/>
    </w:rPr>
  </w:style>
  <w:style w:type="character" w:customStyle="1" w:styleId="CommentSubjectChar">
    <w:name w:val="Comment Subject Char"/>
    <w:basedOn w:val="CommentTextChar"/>
    <w:link w:val="CommentSubject"/>
    <w:uiPriority w:val="99"/>
    <w:semiHidden/>
    <w:rsid w:val="004D0199"/>
    <w:rPr>
      <w:b/>
      <w:bCs/>
      <w:sz w:val="20"/>
      <w:szCs w:val="20"/>
    </w:rPr>
  </w:style>
  <w:style w:type="character" w:styleId="Hyperlink">
    <w:name w:val="Hyperlink"/>
    <w:basedOn w:val="DefaultParagraphFont"/>
    <w:uiPriority w:val="99"/>
    <w:unhideWhenUsed/>
    <w:rsid w:val="00CA4343"/>
    <w:rPr>
      <w:color w:val="467886" w:themeColor="hyperlink"/>
      <w:u w:val="single"/>
    </w:rPr>
  </w:style>
  <w:style w:type="character" w:styleId="UnresolvedMention">
    <w:name w:val="Unresolved Mention"/>
    <w:basedOn w:val="DefaultParagraphFont"/>
    <w:uiPriority w:val="99"/>
    <w:semiHidden/>
    <w:unhideWhenUsed/>
    <w:rsid w:val="00CA4343"/>
    <w:rPr>
      <w:color w:val="605E5C"/>
      <w:shd w:val="clear" w:color="auto" w:fill="E1DFDD"/>
    </w:rPr>
  </w:style>
  <w:style w:type="character" w:styleId="Strong">
    <w:name w:val="Strong"/>
    <w:basedOn w:val="DefaultParagraphFont"/>
    <w:uiPriority w:val="22"/>
    <w:qFormat/>
    <w:rsid w:val="00C5024C"/>
    <w:rPr>
      <w:b/>
      <w:bCs/>
    </w:rPr>
  </w:style>
  <w:style w:type="paragraph" w:styleId="FootnoteText">
    <w:name w:val="footnote text"/>
    <w:basedOn w:val="Normal"/>
    <w:link w:val="FootnoteTextChar"/>
    <w:uiPriority w:val="99"/>
    <w:semiHidden/>
    <w:unhideWhenUsed/>
    <w:rsid w:val="0025337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53371"/>
    <w:rPr>
      <w:sz w:val="20"/>
      <w:szCs w:val="20"/>
    </w:rPr>
  </w:style>
  <w:style w:type="character" w:styleId="FootnoteReference">
    <w:name w:val="footnote reference"/>
    <w:basedOn w:val="DefaultParagraphFont"/>
    <w:uiPriority w:val="99"/>
    <w:semiHidden/>
    <w:unhideWhenUsed/>
    <w:rsid w:val="00253371"/>
    <w:rPr>
      <w:vertAlign w:val="superscript"/>
    </w:rPr>
  </w:style>
  <w:style w:type="paragraph" w:styleId="Revision">
    <w:name w:val="Revision"/>
    <w:hidden/>
    <w:uiPriority w:val="99"/>
    <w:semiHidden/>
    <w:rsid w:val="00BD697C"/>
    <w:pPr>
      <w:spacing w:after="0" w:line="240" w:lineRule="auto"/>
    </w:pPr>
  </w:style>
  <w:style w:type="paragraph" w:styleId="Header">
    <w:name w:val="header"/>
    <w:basedOn w:val="Normal"/>
    <w:link w:val="HeaderChar"/>
    <w:uiPriority w:val="99"/>
    <w:unhideWhenUsed/>
    <w:rsid w:val="006118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2D43"/>
  </w:style>
  <w:style w:type="paragraph" w:styleId="Footer">
    <w:name w:val="footer"/>
    <w:basedOn w:val="Normal"/>
    <w:link w:val="FooterChar"/>
    <w:uiPriority w:val="99"/>
    <w:unhideWhenUsed/>
    <w:rsid w:val="006118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2D43"/>
  </w:style>
  <w:style w:type="paragraph" w:customStyle="1" w:styleId="pf0">
    <w:name w:val="pf0"/>
    <w:basedOn w:val="Normal"/>
    <w:rsid w:val="00F86C0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01">
    <w:name w:val="cf01"/>
    <w:basedOn w:val="DefaultParagraphFont"/>
    <w:rsid w:val="007E166E"/>
    <w:rPr>
      <w:rFonts w:ascii="Segoe UI" w:hAnsi="Segoe UI" w:cs="Segoe UI" w:hint="default"/>
      <w:b/>
      <w:bCs/>
      <w:sz w:val="18"/>
      <w:szCs w:val="18"/>
    </w:rPr>
  </w:style>
  <w:style w:type="character" w:customStyle="1" w:styleId="cf11">
    <w:name w:val="cf11"/>
    <w:basedOn w:val="DefaultParagraphFont"/>
    <w:rsid w:val="007E166E"/>
    <w:rPr>
      <w:rFonts w:ascii="Segoe UI" w:hAnsi="Segoe UI" w:cs="Segoe UI" w:hint="default"/>
      <w:sz w:val="18"/>
      <w:szCs w:val="18"/>
    </w:rPr>
  </w:style>
  <w:style w:type="paragraph" w:styleId="TOCHeading">
    <w:name w:val="TOC Heading"/>
    <w:basedOn w:val="Heading1"/>
    <w:next w:val="Normal"/>
    <w:uiPriority w:val="39"/>
    <w:unhideWhenUsed/>
    <w:qFormat/>
    <w:rsid w:val="002E1AB5"/>
    <w:pPr>
      <w:spacing w:before="240" w:after="0"/>
      <w:outlineLvl w:val="9"/>
    </w:pPr>
    <w:rPr>
      <w:color w:val="0F4761" w:themeColor="accent1" w:themeShade="BF"/>
      <w:kern w:val="0"/>
      <w:sz w:val="32"/>
      <w:szCs w:val="32"/>
      <w:lang w:eastAsia="en-GB"/>
      <w14:ligatures w14:val="none"/>
    </w:rPr>
  </w:style>
  <w:style w:type="paragraph" w:styleId="TOC1">
    <w:name w:val="toc 1"/>
    <w:basedOn w:val="Normal"/>
    <w:next w:val="Normal"/>
    <w:autoRedefine/>
    <w:uiPriority w:val="39"/>
    <w:unhideWhenUsed/>
    <w:rsid w:val="002E1AB5"/>
    <w:pPr>
      <w:spacing w:after="100"/>
    </w:pPr>
  </w:style>
  <w:style w:type="paragraph" w:styleId="TOC2">
    <w:name w:val="toc 2"/>
    <w:basedOn w:val="Normal"/>
    <w:next w:val="Normal"/>
    <w:autoRedefine/>
    <w:uiPriority w:val="39"/>
    <w:unhideWhenUsed/>
    <w:rsid w:val="002E1AB5"/>
    <w:pPr>
      <w:spacing w:after="100"/>
      <w:ind w:left="220"/>
    </w:pPr>
  </w:style>
  <w:style w:type="paragraph" w:styleId="TOC3">
    <w:name w:val="toc 3"/>
    <w:basedOn w:val="Normal"/>
    <w:next w:val="Normal"/>
    <w:autoRedefine/>
    <w:uiPriority w:val="39"/>
    <w:unhideWhenUsed/>
    <w:rsid w:val="002E1AB5"/>
    <w:pPr>
      <w:spacing w:after="100"/>
      <w:ind w:left="440"/>
    </w:pPr>
  </w:style>
  <w:style w:type="table" w:customStyle="1" w:styleId="NCCPEBlankTable">
    <w:name w:val="NCCPE Blank Table"/>
    <w:basedOn w:val="TableNormal"/>
    <w:uiPriority w:val="99"/>
    <w:rsid w:val="00BC25A9"/>
    <w:pPr>
      <w:spacing w:after="0" w:line="240" w:lineRule="auto"/>
    </w:pPr>
    <w:rPr>
      <w:kern w:val="0"/>
      <w14:ligatures w14:val="none"/>
    </w:rPr>
    <w:tblPr>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publicengagement.ac.uk/engaged-futures-creating-more-engaged-future-higher-education" TargetMode="External"/><Relationship Id="rId2" Type="http://schemas.openxmlformats.org/officeDocument/2006/relationships/customXml" Target="../customXml/item2.xml"/><Relationship Id="rId16" Type="http://schemas.openxmlformats.org/officeDocument/2006/relationships/hyperlink" Target="https://www.publicengagement.ac.uk/engaged-futures-creating-more-engaged-future-higher-educatio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publicengagement.ac.uk/engaged-futures-creating-more-engaged-future-higher-education"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ublicengagement.ac.uk/engaged-futures-creating-more-engaged-future-higher-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75d57ca-3133-443f-87a2-97f0a984166a" xsi:nil="true"/>
    <lcf76f155ced4ddcb4097134ff3c332f xmlns="8024e8cf-eaae-4364-8179-ad1e2ae99b8c">
      <Terms xmlns="http://schemas.microsoft.com/office/infopath/2007/PartnerControls"/>
    </lcf76f155ced4ddcb4097134ff3c332f>
    <_dlc_DocId xmlns="875d57ca-3133-443f-87a2-97f0a984166a">HKHS3QP6KEVV-902401040-31819</_dlc_DocId>
    <_dlc_DocIdUrl xmlns="875d57ca-3133-443f-87a2-97f0a984166a">
      <Url>https://uweacuk.sharepoint.com/teams/nccpe/_layouts/15/DocIdRedir.aspx?ID=HKHS3QP6KEVV-902401040-31819</Url>
      <Description>HKHS3QP6KEVV-902401040-31819</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F60DA2CA8393C4992D7217D2116860D" ma:contentTypeVersion="19" ma:contentTypeDescription="Create a new document." ma:contentTypeScope="" ma:versionID="78681bbd28f49f8c8c04fc2a85928597">
  <xsd:schema xmlns:xsd="http://www.w3.org/2001/XMLSchema" xmlns:xs="http://www.w3.org/2001/XMLSchema" xmlns:p="http://schemas.microsoft.com/office/2006/metadata/properties" xmlns:ns2="875d57ca-3133-443f-87a2-97f0a984166a" xmlns:ns3="8024e8cf-eaae-4364-8179-ad1e2ae99b8c" targetNamespace="http://schemas.microsoft.com/office/2006/metadata/properties" ma:root="true" ma:fieldsID="c45818b39a6df16af3e269b09b666149" ns2:_="" ns3:_="">
    <xsd:import namespace="875d57ca-3133-443f-87a2-97f0a984166a"/>
    <xsd:import namespace="8024e8cf-eaae-4364-8179-ad1e2ae99b8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2:SharedWithUsers" minOccurs="0"/>
                <xsd:element ref="ns2:SharedWithDetails"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5d57ca-3133-443f-87a2-97f0a984166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description="" ma:internalName="SharedWithDetails" ma:readOnly="true">
      <xsd:simpleType>
        <xsd:restriction base="dms:Note">
          <xsd:maxLength value="255"/>
        </xsd:restriction>
      </xsd:simpleType>
    </xsd:element>
    <xsd:element name="TaxCatchAll" ma:index="26" nillable="true" ma:displayName="Taxonomy Catch All Column" ma:hidden="true" ma:list="{a44f8e5d-c6fb-441c-b0ca-5e96712e9a59}" ma:internalName="TaxCatchAll" ma:showField="CatchAllData" ma:web="875d57ca-3133-443f-87a2-97f0a98416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024e8cf-eaae-4364-8179-ad1e2ae99b8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a2edd95a-f8c2-4715-9b78-af595b67b1e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36F2EE-39FB-432D-895C-4ECE6DBAABAA}">
  <ds:schemaRefs>
    <ds:schemaRef ds:uri="http://schemas.microsoft.com/sharepoint/events"/>
  </ds:schemaRefs>
</ds:datastoreItem>
</file>

<file path=customXml/itemProps2.xml><?xml version="1.0" encoding="utf-8"?>
<ds:datastoreItem xmlns:ds="http://schemas.openxmlformats.org/officeDocument/2006/customXml" ds:itemID="{21B310FC-7534-4956-9301-F1121C89EB2B}">
  <ds:schemaRefs>
    <ds:schemaRef ds:uri="http://schemas.microsoft.com/sharepoint/v3/contenttype/forms"/>
  </ds:schemaRefs>
</ds:datastoreItem>
</file>

<file path=customXml/itemProps3.xml><?xml version="1.0" encoding="utf-8"?>
<ds:datastoreItem xmlns:ds="http://schemas.openxmlformats.org/officeDocument/2006/customXml" ds:itemID="{74E56C8D-10DD-4CC8-A6F0-5A394E0B5194}">
  <ds:schemaRefs>
    <ds:schemaRef ds:uri="http://schemas.microsoft.com/office/2006/metadata/properties"/>
    <ds:schemaRef ds:uri="http://schemas.microsoft.com/office/infopath/2007/PartnerControls"/>
    <ds:schemaRef ds:uri="875d57ca-3133-443f-87a2-97f0a984166a"/>
    <ds:schemaRef ds:uri="8024e8cf-eaae-4364-8179-ad1e2ae99b8c"/>
  </ds:schemaRefs>
</ds:datastoreItem>
</file>

<file path=customXml/itemProps4.xml><?xml version="1.0" encoding="utf-8"?>
<ds:datastoreItem xmlns:ds="http://schemas.openxmlformats.org/officeDocument/2006/customXml" ds:itemID="{562884D8-0ACF-4352-A367-9B77E9A19E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5d57ca-3133-443f-87a2-97f0a984166a"/>
    <ds:schemaRef ds:uri="8024e8cf-eaae-4364-8179-ad1e2ae99b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9C56E5A-7C0E-4973-90BE-40EA8A62B56B}">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Template>
  <TotalTime>70</TotalTime>
  <Pages>8</Pages>
  <Words>2244</Words>
  <Characters>13222</Characters>
  <Application>Microsoft Office Word</Application>
  <DocSecurity>0</DocSecurity>
  <Lines>259</Lines>
  <Paragraphs>106</Paragraphs>
  <ScaleCrop>false</ScaleCrop>
  <HeadingPairs>
    <vt:vector size="2" baseType="variant">
      <vt:variant>
        <vt:lpstr>Title</vt:lpstr>
      </vt:variant>
      <vt:variant>
        <vt:i4>1</vt:i4>
      </vt:variant>
    </vt:vector>
  </HeadingPairs>
  <TitlesOfParts>
    <vt:vector size="1" baseType="lpstr">
      <vt:lpstr/>
    </vt:vector>
  </TitlesOfParts>
  <Company>UWE Bristol</Company>
  <LinksUpToDate>false</LinksUpToDate>
  <CharactersWithSpaces>15360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Manners</dc:creator>
  <cp:keywords/>
  <dc:description/>
  <cp:lastModifiedBy>Hannah Moss</cp:lastModifiedBy>
  <cp:revision>27</cp:revision>
  <dcterms:created xsi:type="dcterms:W3CDTF">2026-09-14T12:01:00Z</dcterms:created>
  <dcterms:modified xsi:type="dcterms:W3CDTF">2026-10-21T12:06:00Z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0x0101000F60DA2CA8393C4992D7217D2116860D</vt:lpwstr>
  </property>
  <property fmtid="{D5CDD505-2E9C-101B-9397-08002B2CF9AE}" pid="3" name="_dlc_DocIdItemGuid">
    <vt:lpwstr>1c9322a7-609e-49f7-b1b1-20b83315c6d5</vt:lpwstr>
  </property>
  <property fmtid="{D5CDD505-2E9C-101B-9397-08002B2CF9AE}" pid="4" name="MediaServiceImageTags">
    <vt:lpwstr/>
  </property>
  <property fmtid="{D5CDD505-2E9C-101B-9397-08002B2CF9AE}" pid="5" name="docLang">
    <vt:lpwstr>en</vt:lpwstr>
  </property>
</Properties>
</file>